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EF165" w14:textId="77777777" w:rsidR="00C10DBA" w:rsidRDefault="00C10DBA" w:rsidP="004F6850">
      <w:pPr>
        <w:pStyle w:val="Overskrift2"/>
      </w:pPr>
    </w:p>
    <w:p w14:paraId="4BE4A356" w14:textId="4C2770CB" w:rsidR="004F6850" w:rsidRDefault="004F6850" w:rsidP="00C10DBA">
      <w:pPr>
        <w:pStyle w:val="Overskrift2"/>
        <w:spacing w:before="0"/>
      </w:pPr>
      <w:r>
        <w:t>Introduktion og baggrund</w:t>
      </w:r>
    </w:p>
    <w:p w14:paraId="7D1A8495" w14:textId="5A8CA52A" w:rsidR="00D0573A" w:rsidRDefault="004F6850" w:rsidP="00D0573A">
      <w:pPr>
        <w:spacing w:line="240" w:lineRule="auto"/>
      </w:pPr>
      <w:r>
        <w:t>Per 1. september 2021 indførte CISU nye budgetformater for Civilsamfundspuljen</w:t>
      </w:r>
      <w:r w:rsidR="00A45713">
        <w:t xml:space="preserve"> </w:t>
      </w:r>
      <w:r w:rsidR="00A45713" w:rsidRPr="00A45713">
        <w:t>inkl. Engagementspuljen og Styrkelse af Civilsamfundets Råderum</w:t>
      </w:r>
      <w:r>
        <w:t>. Implementeringen af de nye budgetformater skyldes</w:t>
      </w:r>
      <w:r w:rsidR="00D0573A">
        <w:t>,</w:t>
      </w:r>
      <w:r w:rsidR="00D0573A" w:rsidRPr="00D0573A">
        <w:t xml:space="preserve"> </w:t>
      </w:r>
      <w:r w:rsidR="00D0573A">
        <w:t xml:space="preserve">at Udenrigsministeriet har besluttet at omlægge til en </w:t>
      </w:r>
      <w:r w:rsidR="00B805F8">
        <w:t xml:space="preserve">anden og </w:t>
      </w:r>
      <w:r w:rsidR="00D0573A">
        <w:t xml:space="preserve">mere transparent finansieringsmodel i forhold til sine danske partnere, herunder CISU. </w:t>
      </w:r>
    </w:p>
    <w:p w14:paraId="42112087" w14:textId="20DFBAF8" w:rsidR="004F6850" w:rsidRDefault="00D0573A" w:rsidP="004F6850">
      <w:r>
        <w:t>Den nye model indebærer blandt andet, at man fra</w:t>
      </w:r>
      <w:r w:rsidR="00B805F8">
        <w:t xml:space="preserve"> 1. januar</w:t>
      </w:r>
      <w:r>
        <w:t xml:space="preserve"> 2022 ikke længere kan </w:t>
      </w:r>
      <w:r w:rsidRPr="00B805F8">
        <w:rPr>
          <w:i/>
          <w:iCs/>
        </w:rPr>
        <w:t>søge om</w:t>
      </w:r>
      <w:r>
        <w:t xml:space="preserve"> overhead af lønninger for fastansat personale i den danske organisation. </w:t>
      </w:r>
      <w:r w:rsidR="004F6850">
        <w:t>I stedet for overhead er der mulighed for, at den danske organisation kan medtage projektunderstøttende omkostninger</w:t>
      </w:r>
      <w:r w:rsidR="00B805F8">
        <w:t xml:space="preserve"> i budgettet. På denne måde har den danske organisation mulighed for at få dækket en rimelig andel af projektets udgifter til </w:t>
      </w:r>
      <w:r w:rsidR="004F6850">
        <w:t>f.eks. kontorhold, lønning af ledelse, lønandel til tværgående medarbejdere, IT-udstyr etc.</w:t>
      </w:r>
      <w:r w:rsidR="00B03D6A">
        <w:t xml:space="preserve"> </w:t>
      </w:r>
    </w:p>
    <w:p w14:paraId="69ABDD65" w14:textId="13FA873A" w:rsidR="00B03D6A" w:rsidRDefault="00B03D6A" w:rsidP="004F6850">
      <w:r>
        <w:t xml:space="preserve">Fra 1. januar 2022 kan man </w:t>
      </w:r>
      <w:r w:rsidR="00B805F8">
        <w:t xml:space="preserve">heller </w:t>
      </w:r>
      <w:r>
        <w:t xml:space="preserve">ikke længere </w:t>
      </w:r>
      <w:r w:rsidRPr="00B805F8">
        <w:rPr>
          <w:i/>
          <w:iCs/>
        </w:rPr>
        <w:t xml:space="preserve">afregne </w:t>
      </w:r>
      <w:r w:rsidRPr="00B805F8">
        <w:t>overhead</w:t>
      </w:r>
      <w:r>
        <w:t xml:space="preserve"> af lønninger for</w:t>
      </w:r>
      <w:r w:rsidR="00B805F8">
        <w:t xml:space="preserve"> fastansat</w:t>
      </w:r>
      <w:r>
        <w:t xml:space="preserve"> personale i den danske organisation.</w:t>
      </w:r>
      <w:r w:rsidR="00B805F8">
        <w:t xml:space="preserve"> Hvis man har medtaget overhead i sit budget, og projektet har slutdato </w:t>
      </w:r>
      <w:r w:rsidR="00B805F8" w:rsidRPr="004C25D8">
        <w:rPr>
          <w:i/>
          <w:iCs/>
        </w:rPr>
        <w:t>efter</w:t>
      </w:r>
      <w:r w:rsidR="00B805F8">
        <w:t xml:space="preserve"> 1. januar 2022</w:t>
      </w:r>
      <w:r w:rsidR="004C25D8">
        <w:t xml:space="preserve">, skal overhead derfor afregnes på en ny måde.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25D8" w14:paraId="3B676A13" w14:textId="77777777" w:rsidTr="004C25D8">
        <w:tc>
          <w:tcPr>
            <w:tcW w:w="9628" w:type="dxa"/>
          </w:tcPr>
          <w:p w14:paraId="1B1F20ED" w14:textId="066320FA" w:rsidR="004C25D8" w:rsidRPr="004C25D8" w:rsidRDefault="004C25D8" w:rsidP="004C25D8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C25D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For bevillinger, der har slutdato i 2021, skal bevillingshavere IKKE forholde sig til ændringerne.</w:t>
            </w:r>
          </w:p>
          <w:p w14:paraId="40453DFA" w14:textId="69CA9419" w:rsidR="004C25D8" w:rsidRDefault="004C25D8" w:rsidP="004C25D8">
            <w:pPr>
              <w:spacing w:after="0"/>
              <w:jc w:val="center"/>
            </w:pPr>
            <w:r w:rsidRPr="004C25D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For bevillinger, der har slutdato senere end 2021</w:t>
            </w:r>
            <w:r w:rsidR="009028A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</w:t>
            </w:r>
            <w:r w:rsidRPr="004C25D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gælder de nye regler.</w:t>
            </w:r>
          </w:p>
        </w:tc>
      </w:tr>
    </w:tbl>
    <w:p w14:paraId="00EB8AEB" w14:textId="77777777" w:rsidR="004C25D8" w:rsidRDefault="004C25D8" w:rsidP="004F6850"/>
    <w:p w14:paraId="2C2A4489" w14:textId="34250402" w:rsidR="00571A0A" w:rsidRDefault="00571A0A" w:rsidP="00571A0A">
      <w:pPr>
        <w:pStyle w:val="Overskrift2"/>
      </w:pPr>
      <w:r>
        <w:t>Procedurer for bevillingsregnskaber</w:t>
      </w:r>
      <w:r w:rsidR="005D2652">
        <w:t xml:space="preserve"> fra efterår 2021 og fremover</w:t>
      </w:r>
    </w:p>
    <w:p w14:paraId="017EC481" w14:textId="4B228CF9" w:rsidR="00571A0A" w:rsidRDefault="00571A0A">
      <w:r>
        <w:t>Ændringerne i budgetformaterne</w:t>
      </w:r>
      <w:r w:rsidR="004C25D8">
        <w:t xml:space="preserve"> og i reglerne for overhead </w:t>
      </w:r>
      <w:r>
        <w:t>medfører</w:t>
      </w:r>
      <w:r w:rsidR="004C25D8">
        <w:t>,</w:t>
      </w:r>
      <w:r>
        <w:t xml:space="preserve"> at der i de næste par år arbejdes med tre forskellige regnskabsformater</w:t>
      </w:r>
      <w:r w:rsidR="004C25D8">
        <w:t>.</w:t>
      </w:r>
      <w:r w:rsidR="00B03D6A">
        <w:t xml:space="preserve"> Det</w:t>
      </w:r>
      <w:r w:rsidR="009028AF">
        <w:t xml:space="preserve"> </w:t>
      </w:r>
      <w:r>
        <w:t>er vist i oversigten nedenfor</w:t>
      </w:r>
      <w:r w:rsidR="009028AF">
        <w:t>, hvilket budgetformat og regnskabsformat man skal bruge, hvis man har 1) en bevilling der har slutdato i 2021, 2) en bevilling der starter før 1. september 2021 og slutter efter 31. december 2021, og 3) en bevilling der starter efter 1. september 2021: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410"/>
        <w:gridCol w:w="2268"/>
      </w:tblGrid>
      <w:tr w:rsidR="004F6850" w:rsidRPr="004C25D8" w14:paraId="331269E9" w14:textId="77777777" w:rsidTr="00571A0A">
        <w:tc>
          <w:tcPr>
            <w:tcW w:w="2689" w:type="dxa"/>
          </w:tcPr>
          <w:p w14:paraId="1EBE87EA" w14:textId="77777777" w:rsidR="004F6850" w:rsidRPr="004C25D8" w:rsidRDefault="004F6850" w:rsidP="00CD5C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C25D8">
              <w:rPr>
                <w:rFonts w:asciiTheme="minorHAnsi" w:hAnsiTheme="minorHAnsi" w:cstheme="minorHAnsi"/>
                <w:b/>
                <w:bCs/>
              </w:rPr>
              <w:t>Formater</w:t>
            </w:r>
          </w:p>
        </w:tc>
        <w:tc>
          <w:tcPr>
            <w:tcW w:w="2126" w:type="dxa"/>
          </w:tcPr>
          <w:p w14:paraId="0E70E777" w14:textId="52974516" w:rsidR="004F6850" w:rsidRPr="004C25D8" w:rsidRDefault="004F6850" w:rsidP="00CD5C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C25D8">
              <w:rPr>
                <w:rFonts w:asciiTheme="minorHAnsi" w:hAnsiTheme="minorHAnsi" w:cstheme="minorHAnsi"/>
                <w:b/>
                <w:bCs/>
              </w:rPr>
              <w:t>Bevillinger med slutdato senest 31</w:t>
            </w:r>
            <w:r w:rsidR="00571A0A" w:rsidRPr="004C25D8">
              <w:rPr>
                <w:rFonts w:asciiTheme="minorHAnsi" w:hAnsiTheme="minorHAnsi" w:cstheme="minorHAnsi"/>
                <w:b/>
                <w:bCs/>
              </w:rPr>
              <w:t>/</w:t>
            </w:r>
            <w:r w:rsidRPr="004C25D8">
              <w:rPr>
                <w:rFonts w:asciiTheme="minorHAnsi" w:hAnsiTheme="minorHAnsi" w:cstheme="minorHAnsi"/>
                <w:b/>
                <w:bCs/>
              </w:rPr>
              <w:t>12</w:t>
            </w:r>
            <w:r w:rsidR="00571A0A" w:rsidRPr="004C25D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C25D8"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  <w:tc>
          <w:tcPr>
            <w:tcW w:w="2410" w:type="dxa"/>
          </w:tcPr>
          <w:p w14:paraId="1C6C7056" w14:textId="6D9694CE" w:rsidR="004F6850" w:rsidRPr="004C25D8" w:rsidRDefault="004F6850" w:rsidP="00CD5C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C25D8">
              <w:rPr>
                <w:rFonts w:asciiTheme="minorHAnsi" w:hAnsiTheme="minorHAnsi" w:cstheme="minorHAnsi"/>
                <w:b/>
                <w:bCs/>
              </w:rPr>
              <w:t>Bevillinger med startdato før 1</w:t>
            </w:r>
            <w:r w:rsidR="00571A0A" w:rsidRPr="004C25D8">
              <w:rPr>
                <w:rFonts w:asciiTheme="minorHAnsi" w:hAnsiTheme="minorHAnsi" w:cstheme="minorHAnsi"/>
                <w:b/>
                <w:bCs/>
              </w:rPr>
              <w:t>/</w:t>
            </w:r>
            <w:r w:rsidRPr="004C25D8">
              <w:rPr>
                <w:rFonts w:asciiTheme="minorHAnsi" w:hAnsiTheme="minorHAnsi" w:cstheme="minorHAnsi"/>
                <w:b/>
                <w:bCs/>
              </w:rPr>
              <w:t>9</w:t>
            </w:r>
            <w:r w:rsidR="00571A0A" w:rsidRPr="004C25D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C25D8">
              <w:rPr>
                <w:rFonts w:asciiTheme="minorHAnsi" w:hAnsiTheme="minorHAnsi" w:cstheme="minorHAnsi"/>
                <w:b/>
                <w:bCs/>
              </w:rPr>
              <w:t>2021 og slutdato efter 31</w:t>
            </w:r>
            <w:r w:rsidR="00571A0A" w:rsidRPr="004C25D8">
              <w:rPr>
                <w:rFonts w:asciiTheme="minorHAnsi" w:hAnsiTheme="minorHAnsi" w:cstheme="minorHAnsi"/>
                <w:b/>
                <w:bCs/>
              </w:rPr>
              <w:t>/</w:t>
            </w:r>
            <w:r w:rsidRPr="004C25D8">
              <w:rPr>
                <w:rFonts w:asciiTheme="minorHAnsi" w:hAnsiTheme="minorHAnsi" w:cstheme="minorHAnsi"/>
                <w:b/>
                <w:bCs/>
              </w:rPr>
              <w:t>12</w:t>
            </w:r>
            <w:r w:rsidR="00571A0A" w:rsidRPr="004C25D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C25D8"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  <w:tc>
          <w:tcPr>
            <w:tcW w:w="2268" w:type="dxa"/>
          </w:tcPr>
          <w:p w14:paraId="071E5E40" w14:textId="67EB0960" w:rsidR="004F6850" w:rsidRPr="004C25D8" w:rsidRDefault="004F6850" w:rsidP="00CD5C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C25D8">
              <w:rPr>
                <w:rFonts w:asciiTheme="minorHAnsi" w:hAnsiTheme="minorHAnsi" w:cstheme="minorHAnsi"/>
                <w:b/>
                <w:bCs/>
              </w:rPr>
              <w:t>Bevillinger med startdato efter 1</w:t>
            </w:r>
            <w:r w:rsidR="00571A0A" w:rsidRPr="004C25D8">
              <w:rPr>
                <w:rFonts w:asciiTheme="minorHAnsi" w:hAnsiTheme="minorHAnsi" w:cstheme="minorHAnsi"/>
                <w:b/>
                <w:bCs/>
              </w:rPr>
              <w:t>/</w:t>
            </w:r>
            <w:r w:rsidRPr="004C25D8">
              <w:rPr>
                <w:rFonts w:asciiTheme="minorHAnsi" w:hAnsiTheme="minorHAnsi" w:cstheme="minorHAnsi"/>
                <w:b/>
                <w:bCs/>
              </w:rPr>
              <w:t>9</w:t>
            </w:r>
            <w:r w:rsidR="00571A0A" w:rsidRPr="004C25D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C25D8"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</w:tr>
      <w:tr w:rsidR="004F6850" w:rsidRPr="004C25D8" w14:paraId="4C4920B7" w14:textId="77777777" w:rsidTr="00571A0A">
        <w:tc>
          <w:tcPr>
            <w:tcW w:w="2689" w:type="dxa"/>
          </w:tcPr>
          <w:p w14:paraId="6475CD02" w14:textId="76ACDDCA" w:rsidR="004F6850" w:rsidRPr="004C25D8" w:rsidRDefault="004F6850" w:rsidP="00CD5CF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5D8">
              <w:rPr>
                <w:rFonts w:asciiTheme="minorHAnsi" w:hAnsiTheme="minorHAnsi" w:cstheme="minorHAnsi"/>
              </w:rPr>
              <w:t>Budgetformat med overhead</w:t>
            </w:r>
            <w:r w:rsidR="00571A0A" w:rsidRPr="004C25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6" w:type="dxa"/>
          </w:tcPr>
          <w:p w14:paraId="1646BCDE" w14:textId="77777777" w:rsidR="004F6850" w:rsidRPr="004C25D8" w:rsidRDefault="004F6850" w:rsidP="00571A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25D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10" w:type="dxa"/>
          </w:tcPr>
          <w:p w14:paraId="32C83CC8" w14:textId="77777777" w:rsidR="004F6850" w:rsidRPr="004C25D8" w:rsidRDefault="004F6850" w:rsidP="00571A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25D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268" w:type="dxa"/>
          </w:tcPr>
          <w:p w14:paraId="46D09DF8" w14:textId="77777777" w:rsidR="004F6850" w:rsidRPr="004C25D8" w:rsidRDefault="004F6850" w:rsidP="00571A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6850" w:rsidRPr="004C25D8" w14:paraId="45637191" w14:textId="77777777" w:rsidTr="00571A0A">
        <w:tc>
          <w:tcPr>
            <w:tcW w:w="2689" w:type="dxa"/>
          </w:tcPr>
          <w:p w14:paraId="2C78DC5B" w14:textId="3835DF0A" w:rsidR="004F6850" w:rsidRPr="004C25D8" w:rsidRDefault="004F6850" w:rsidP="00CD5CF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5D8">
              <w:rPr>
                <w:rFonts w:asciiTheme="minorHAnsi" w:hAnsiTheme="minorHAnsi" w:cstheme="minorHAnsi"/>
              </w:rPr>
              <w:t xml:space="preserve">Nyt budgetformat </w:t>
            </w:r>
          </w:p>
        </w:tc>
        <w:tc>
          <w:tcPr>
            <w:tcW w:w="2126" w:type="dxa"/>
          </w:tcPr>
          <w:p w14:paraId="33AA5AAA" w14:textId="77777777" w:rsidR="004F6850" w:rsidRPr="004C25D8" w:rsidRDefault="004F6850" w:rsidP="00571A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964E9CD" w14:textId="77777777" w:rsidR="004F6850" w:rsidRPr="004C25D8" w:rsidRDefault="004F6850" w:rsidP="00571A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F6A203C" w14:textId="0DEF5F80" w:rsidR="004F6850" w:rsidRPr="004C25D8" w:rsidRDefault="00571A0A" w:rsidP="00571A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25D8">
              <w:rPr>
                <w:rFonts w:asciiTheme="minorHAnsi" w:hAnsiTheme="minorHAnsi" w:cstheme="minorHAnsi"/>
              </w:rPr>
              <w:t>X</w:t>
            </w:r>
          </w:p>
        </w:tc>
      </w:tr>
      <w:tr w:rsidR="004F6850" w:rsidRPr="004C25D8" w14:paraId="5DDC5AA7" w14:textId="77777777" w:rsidTr="00571A0A">
        <w:tc>
          <w:tcPr>
            <w:tcW w:w="2689" w:type="dxa"/>
          </w:tcPr>
          <w:p w14:paraId="1308A45D" w14:textId="21FD8064" w:rsidR="004F6850" w:rsidRPr="004C25D8" w:rsidRDefault="004F6850" w:rsidP="00CD5CF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5D8">
              <w:rPr>
                <w:rFonts w:asciiTheme="minorHAnsi" w:hAnsiTheme="minorHAnsi" w:cstheme="minorHAnsi"/>
              </w:rPr>
              <w:t>Regnskabsformat med overhead</w:t>
            </w:r>
            <w:r w:rsidR="00571A0A" w:rsidRPr="004C25D8">
              <w:rPr>
                <w:rFonts w:asciiTheme="minorHAnsi" w:hAnsiTheme="minorHAnsi" w:cstheme="minorHAnsi"/>
              </w:rPr>
              <w:t xml:space="preserve">; </w:t>
            </w:r>
            <w:r w:rsidR="00571A0A" w:rsidRPr="004C25D8">
              <w:rPr>
                <w:rFonts w:asciiTheme="minorHAnsi" w:hAnsiTheme="minorHAnsi" w:cstheme="minorHAnsi"/>
                <w:b/>
                <w:bCs/>
              </w:rPr>
              <w:t>Format A</w:t>
            </w:r>
          </w:p>
        </w:tc>
        <w:tc>
          <w:tcPr>
            <w:tcW w:w="2126" w:type="dxa"/>
          </w:tcPr>
          <w:p w14:paraId="4D9651B6" w14:textId="341C3DD0" w:rsidR="004F6850" w:rsidRPr="004C25D8" w:rsidRDefault="004F6850" w:rsidP="00571A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25D8">
              <w:rPr>
                <w:rFonts w:asciiTheme="minorHAnsi" w:hAnsiTheme="minorHAnsi" w:cstheme="minorHAnsi"/>
              </w:rPr>
              <w:t>X</w:t>
            </w:r>
          </w:p>
          <w:p w14:paraId="1AC9895D" w14:textId="337C87B1" w:rsidR="004F6850" w:rsidRPr="004C25D8" w:rsidRDefault="004F6850" w:rsidP="00571A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0A76AE2" w14:textId="77777777" w:rsidR="004F6850" w:rsidRPr="004C25D8" w:rsidRDefault="004F6850" w:rsidP="00571A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1BC3F7C" w14:textId="77777777" w:rsidR="004F6850" w:rsidRPr="004C25D8" w:rsidRDefault="004F6850" w:rsidP="00571A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6850" w:rsidRPr="004C25D8" w14:paraId="707D0C35" w14:textId="77777777" w:rsidTr="00571A0A">
        <w:tc>
          <w:tcPr>
            <w:tcW w:w="2689" w:type="dxa"/>
          </w:tcPr>
          <w:p w14:paraId="698E9401" w14:textId="6A9AC287" w:rsidR="004F6850" w:rsidRPr="004C25D8" w:rsidRDefault="004F6850" w:rsidP="00CD5CF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5D8">
              <w:rPr>
                <w:rFonts w:asciiTheme="minorHAnsi" w:hAnsiTheme="minorHAnsi" w:cstheme="minorHAnsi"/>
              </w:rPr>
              <w:t>Regnskabsformat med overhead og driftsudgifter</w:t>
            </w:r>
            <w:r w:rsidR="00571A0A" w:rsidRPr="004C25D8">
              <w:rPr>
                <w:rFonts w:asciiTheme="minorHAnsi" w:hAnsiTheme="minorHAnsi" w:cstheme="minorHAnsi"/>
              </w:rPr>
              <w:t xml:space="preserve">; </w:t>
            </w:r>
            <w:r w:rsidR="00571A0A" w:rsidRPr="004C25D8">
              <w:rPr>
                <w:rFonts w:asciiTheme="minorHAnsi" w:hAnsiTheme="minorHAnsi" w:cstheme="minorHAnsi"/>
                <w:b/>
                <w:bCs/>
              </w:rPr>
              <w:t>Format B</w:t>
            </w:r>
          </w:p>
        </w:tc>
        <w:tc>
          <w:tcPr>
            <w:tcW w:w="2126" w:type="dxa"/>
          </w:tcPr>
          <w:p w14:paraId="1DD0D450" w14:textId="77777777" w:rsidR="004F6850" w:rsidRPr="004C25D8" w:rsidRDefault="004F6850" w:rsidP="00571A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F6DD4C1" w14:textId="3A7C15FA" w:rsidR="004F6850" w:rsidRPr="004C25D8" w:rsidRDefault="004F6850" w:rsidP="00571A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25D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268" w:type="dxa"/>
          </w:tcPr>
          <w:p w14:paraId="6387EC31" w14:textId="77777777" w:rsidR="004F6850" w:rsidRPr="004C25D8" w:rsidRDefault="004F6850" w:rsidP="00571A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6850" w:rsidRPr="004C25D8" w14:paraId="5293A824" w14:textId="77777777" w:rsidTr="00571A0A">
        <w:tc>
          <w:tcPr>
            <w:tcW w:w="2689" w:type="dxa"/>
          </w:tcPr>
          <w:p w14:paraId="32365D7F" w14:textId="77777777" w:rsidR="0093164B" w:rsidRDefault="0093164B" w:rsidP="00CD5CF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Nyt r</w:t>
            </w:r>
            <w:r w:rsidR="004F6850" w:rsidRPr="004C25D8">
              <w:rPr>
                <w:rFonts w:asciiTheme="minorHAnsi" w:hAnsiTheme="minorHAnsi" w:cstheme="minorHAnsi"/>
              </w:rPr>
              <w:t>egnskabsformat</w:t>
            </w:r>
            <w:r>
              <w:rPr>
                <w:rFonts w:asciiTheme="minorHAnsi" w:hAnsiTheme="minorHAnsi" w:cstheme="minorHAnsi"/>
              </w:rPr>
              <w:t>;</w:t>
            </w:r>
            <w:r w:rsidR="004F6850" w:rsidRPr="004C25D8">
              <w:rPr>
                <w:rFonts w:asciiTheme="minorHAnsi" w:hAnsiTheme="minorHAnsi" w:cstheme="minorHAnsi"/>
              </w:rPr>
              <w:t xml:space="preserve"> </w:t>
            </w:r>
          </w:p>
          <w:p w14:paraId="084A497D" w14:textId="38731696" w:rsidR="004F6850" w:rsidRPr="004C25D8" w:rsidRDefault="00571A0A" w:rsidP="00CD5CF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25D8">
              <w:rPr>
                <w:rFonts w:asciiTheme="minorHAnsi" w:hAnsiTheme="minorHAnsi" w:cstheme="minorHAnsi"/>
                <w:b/>
                <w:bCs/>
              </w:rPr>
              <w:t>Format C</w:t>
            </w:r>
          </w:p>
        </w:tc>
        <w:tc>
          <w:tcPr>
            <w:tcW w:w="2126" w:type="dxa"/>
          </w:tcPr>
          <w:p w14:paraId="24F1FA2F" w14:textId="77777777" w:rsidR="004F6850" w:rsidRPr="004C25D8" w:rsidRDefault="004F6850" w:rsidP="00571A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2179245" w14:textId="77777777" w:rsidR="004F6850" w:rsidRPr="004C25D8" w:rsidRDefault="004F6850" w:rsidP="00571A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D535FEC" w14:textId="23C52E64" w:rsidR="004F6850" w:rsidRPr="004C25D8" w:rsidRDefault="00571A0A" w:rsidP="00571A0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C25D8">
              <w:rPr>
                <w:rFonts w:asciiTheme="minorHAnsi" w:hAnsiTheme="minorHAnsi" w:cstheme="minorHAnsi"/>
              </w:rPr>
              <w:t>X</w:t>
            </w:r>
          </w:p>
        </w:tc>
      </w:tr>
    </w:tbl>
    <w:p w14:paraId="035ED887" w14:textId="68A56DA2" w:rsidR="004F6850" w:rsidRDefault="004F6850"/>
    <w:p w14:paraId="6BDE24E8" w14:textId="5DBEB20A" w:rsidR="009729D0" w:rsidRDefault="009028AF" w:rsidP="009729D0">
      <w:pPr>
        <w:rPr>
          <w:i/>
          <w:iCs/>
        </w:rPr>
      </w:pPr>
      <w:r>
        <w:t xml:space="preserve">Nedenfor beskrives hver af de tre regnskabsformater. </w:t>
      </w:r>
      <w:r w:rsidR="009729D0" w:rsidRPr="009729D0">
        <w:rPr>
          <w:i/>
          <w:iCs/>
        </w:rPr>
        <w:t>NB: De</w:t>
      </w:r>
      <w:r w:rsidR="009729D0">
        <w:rPr>
          <w:i/>
          <w:iCs/>
        </w:rPr>
        <w:t xml:space="preserve"> beskrevne regnskabsskemaer gælder </w:t>
      </w:r>
      <w:r w:rsidR="009729D0">
        <w:rPr>
          <w:i/>
          <w:iCs/>
          <w:u w:val="single"/>
        </w:rPr>
        <w:t>ikke</w:t>
      </w:r>
      <w:r w:rsidR="009729D0">
        <w:rPr>
          <w:i/>
          <w:iCs/>
        </w:rPr>
        <w:t xml:space="preserve"> for bevillinger under Oplysningspuljen og programbevillinger under Civilsamfundspuljen, da disse bevillinger har deres egne regnskabsskemaer. </w:t>
      </w:r>
    </w:p>
    <w:p w14:paraId="2D6BE1B4" w14:textId="5074B3F0" w:rsidR="004F6850" w:rsidRPr="00C10DBA" w:rsidRDefault="00C10DBA" w:rsidP="00A4571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  <w:r w:rsidR="00571A0A" w:rsidRPr="00C10DBA">
        <w:rPr>
          <w:b/>
          <w:bCs/>
        </w:rPr>
        <w:lastRenderedPageBreak/>
        <w:t>Regnskabsformat med overhead; Format A</w:t>
      </w:r>
    </w:p>
    <w:p w14:paraId="645683CF" w14:textId="40A5E2D7" w:rsidR="008B2A54" w:rsidRDefault="00571A0A">
      <w:r>
        <w:t xml:space="preserve">Det eksisterende regnskabsformat anvendes for alle bevillinger med </w:t>
      </w:r>
      <w:r w:rsidRPr="007411AB">
        <w:rPr>
          <w:color w:val="FF0000"/>
        </w:rPr>
        <w:t>startdato før 1</w:t>
      </w:r>
      <w:r w:rsidR="00895F56">
        <w:rPr>
          <w:color w:val="FF0000"/>
        </w:rPr>
        <w:t>. september</w:t>
      </w:r>
      <w:r w:rsidRPr="007411AB">
        <w:rPr>
          <w:color w:val="FF0000"/>
        </w:rPr>
        <w:t xml:space="preserve"> </w:t>
      </w:r>
      <w:r w:rsidRPr="00895F56">
        <w:rPr>
          <w:color w:val="FF0000"/>
        </w:rPr>
        <w:t>2021 og slutdato senest 31</w:t>
      </w:r>
      <w:r w:rsidR="00895F56" w:rsidRPr="00895F56">
        <w:rPr>
          <w:color w:val="FF0000"/>
        </w:rPr>
        <w:t>. december</w:t>
      </w:r>
      <w:r w:rsidRPr="00895F56">
        <w:rPr>
          <w:color w:val="FF0000"/>
        </w:rPr>
        <w:t xml:space="preserve"> 2021</w:t>
      </w:r>
      <w:r>
        <w:t xml:space="preserve">. </w:t>
      </w:r>
      <w:r w:rsidR="008B2A54">
        <w:t>Slutdato betyder</w:t>
      </w:r>
      <w:r w:rsidR="00F8589E">
        <w:t>,</w:t>
      </w:r>
      <w:r w:rsidR="008B2A54">
        <w:t xml:space="preserve"> at </w:t>
      </w:r>
      <w:r w:rsidR="008B2A54" w:rsidRPr="00B03D6A">
        <w:rPr>
          <w:color w:val="FF0000"/>
          <w:u w:val="single"/>
        </w:rPr>
        <w:t>alle projektets aktiviteter afsluttes senest den 31</w:t>
      </w:r>
      <w:r w:rsidR="00895F56">
        <w:rPr>
          <w:color w:val="FF0000"/>
          <w:u w:val="single"/>
        </w:rPr>
        <w:t xml:space="preserve">. december </w:t>
      </w:r>
      <w:r w:rsidR="008B2A54" w:rsidRPr="00B03D6A">
        <w:rPr>
          <w:color w:val="FF0000"/>
          <w:u w:val="single"/>
        </w:rPr>
        <w:t>2021</w:t>
      </w:r>
      <w:r w:rsidR="008B2A54">
        <w:t>, og bevillingshaver derefter indsender afsluttende rapport samt revideret afsluttende regnskab indenfor deadlines i h</w:t>
      </w:r>
      <w:r w:rsidR="00895F56">
        <w:t>enhold til</w:t>
      </w:r>
      <w:r w:rsidR="008B2A54">
        <w:t xml:space="preserve"> kontrakten. </w:t>
      </w:r>
    </w:p>
    <w:p w14:paraId="65E393F1" w14:textId="3B128363" w:rsidR="008B2A54" w:rsidRDefault="008B2A54">
      <w:pPr>
        <w:rPr>
          <w:color w:val="FF0000"/>
        </w:rPr>
      </w:pPr>
      <w:r>
        <w:t>Da slutdatoen skal være senest 31</w:t>
      </w:r>
      <w:r w:rsidR="00895F56">
        <w:t xml:space="preserve">. december </w:t>
      </w:r>
      <w:r>
        <w:t xml:space="preserve">2021, og deadline for afsluttende regnskab er senest seks måneder efter slutdato, </w:t>
      </w:r>
      <w:r w:rsidRPr="008B2A54">
        <w:rPr>
          <w:color w:val="FF0000"/>
        </w:rPr>
        <w:t>modtager CISU regnskaber i Format A til og med 30</w:t>
      </w:r>
      <w:r w:rsidR="00895F56">
        <w:rPr>
          <w:color w:val="FF0000"/>
        </w:rPr>
        <w:t>. juni</w:t>
      </w:r>
      <w:r w:rsidRPr="008B2A54">
        <w:rPr>
          <w:color w:val="FF0000"/>
        </w:rPr>
        <w:t xml:space="preserve"> 2022.</w:t>
      </w:r>
      <w:r>
        <w:rPr>
          <w:color w:val="FF0000"/>
        </w:rPr>
        <w:t xml:space="preserve"> </w:t>
      </w:r>
    </w:p>
    <w:p w14:paraId="74B026DD" w14:textId="59611A2D" w:rsidR="008B2A54" w:rsidRDefault="00B03D6A">
      <w:r>
        <w:t>Man</w:t>
      </w:r>
      <w:r w:rsidR="008B2A54" w:rsidRPr="008B2A54">
        <w:t xml:space="preserve"> kan kende Format </w:t>
      </w:r>
      <w:r w:rsidR="008B2A54" w:rsidRPr="00C10DBA">
        <w:rPr>
          <w:b/>
          <w:bCs/>
          <w:u w:val="single"/>
        </w:rPr>
        <w:t>A</w:t>
      </w:r>
      <w:r w:rsidR="008B2A54" w:rsidRPr="008B2A54">
        <w:t xml:space="preserve"> </w:t>
      </w:r>
      <w:proofErr w:type="gramStart"/>
      <w:r w:rsidR="008B2A54" w:rsidRPr="008B2A54">
        <w:t>ved</w:t>
      </w:r>
      <w:r w:rsidR="00F8589E">
        <w:t>,</w:t>
      </w:r>
      <w:proofErr w:type="gramEnd"/>
      <w:r w:rsidR="008B2A54" w:rsidRPr="008B2A54">
        <w:t xml:space="preserve"> at note 2 </w:t>
      </w:r>
      <w:r w:rsidR="00EC7656">
        <w:t>ha</w:t>
      </w:r>
      <w:r w:rsidR="008B2A54" w:rsidRPr="008B2A54">
        <w:t xml:space="preserve">r </w:t>
      </w:r>
      <w:r w:rsidR="00EC7656">
        <w:t xml:space="preserve">titlen </w:t>
      </w:r>
      <w:r w:rsidR="008B2A54" w:rsidRPr="008B2A54">
        <w:rPr>
          <w:rFonts w:ascii="Calibri" w:eastAsia="Times New Roman" w:hAnsi="Calibri" w:cs="Calibri"/>
          <w:i/>
          <w:iCs/>
          <w:lang w:eastAsia="da-DK"/>
        </w:rPr>
        <w:t>Dansk timeanvendelse udspecificeret</w:t>
      </w:r>
      <w:r w:rsidR="008B2A54" w:rsidRPr="008B2A54">
        <w:rPr>
          <w:rFonts w:ascii="Calibri" w:eastAsia="Times New Roman" w:hAnsi="Calibri" w:cs="Calibri"/>
          <w:lang w:eastAsia="da-DK"/>
        </w:rPr>
        <w:t xml:space="preserve"> </w:t>
      </w:r>
      <w:r w:rsidR="00EC7656">
        <w:rPr>
          <w:rFonts w:ascii="Calibri" w:eastAsia="Times New Roman" w:hAnsi="Calibri" w:cs="Calibri"/>
          <w:lang w:eastAsia="da-DK"/>
        </w:rPr>
        <w:t xml:space="preserve">(For støtte til ansøgningsproces er dette note 1). </w:t>
      </w:r>
    </w:p>
    <w:p w14:paraId="0D1CC1B6" w14:textId="6BB99ABF" w:rsidR="00B03D6A" w:rsidRDefault="00B03D6A">
      <w:r>
        <w:t>Det er vigtigt</w:t>
      </w:r>
      <w:r w:rsidR="00F8589E">
        <w:t>,</w:t>
      </w:r>
      <w:r>
        <w:t xml:space="preserve"> at bevillingshaver udfylder note 2 korrekt for projektet, idet </w:t>
      </w:r>
      <w:r w:rsidR="00F75177">
        <w:t>der kan afregnes overhead til og med 31.</w:t>
      </w:r>
      <w:r w:rsidR="00895F56">
        <w:t xml:space="preserve"> december </w:t>
      </w:r>
      <w:r w:rsidR="00F75177">
        <w:t>2021, såfremt dette var inkluderet i det godkendte bevillingsbudget</w:t>
      </w:r>
      <w:r w:rsidR="00F8589E">
        <w:t>.</w:t>
      </w:r>
      <w:r w:rsidR="00F75177">
        <w:t xml:space="preserve">  </w:t>
      </w:r>
      <w:r w:rsidR="00F8589E">
        <w:t>D</w:t>
      </w:r>
      <w:r w:rsidR="00F75177">
        <w:t xml:space="preserve">et skal </w:t>
      </w:r>
      <w:r w:rsidR="00F8589E">
        <w:t xml:space="preserve">også </w:t>
      </w:r>
      <w:r w:rsidR="00F75177">
        <w:t>sikres</w:t>
      </w:r>
      <w:r w:rsidR="00F8589E">
        <w:t>,</w:t>
      </w:r>
      <w:r w:rsidR="00F75177">
        <w:t xml:space="preserve"> at revisor revidere</w:t>
      </w:r>
      <w:r w:rsidR="00F8589E">
        <w:t>r</w:t>
      </w:r>
      <w:r w:rsidR="00F75177">
        <w:t xml:space="preserve"> dette i h</w:t>
      </w:r>
      <w:r w:rsidR="00895F56">
        <w:t xml:space="preserve">enhold til </w:t>
      </w:r>
      <w:r w:rsidR="00F75177">
        <w:t xml:space="preserve">gældende retningslinjer og vejledninger for overhead, timeregistrering m.v. </w:t>
      </w:r>
    </w:p>
    <w:p w14:paraId="064D5616" w14:textId="538A92D4" w:rsidR="008B2A54" w:rsidRDefault="008B2A54">
      <w:r w:rsidRPr="008B2A54">
        <w:rPr>
          <w:b/>
          <w:bCs/>
          <w:color w:val="FF0000"/>
        </w:rPr>
        <w:t>OBS</w:t>
      </w:r>
      <w:r>
        <w:t xml:space="preserve">. Hvis bevillingshaver søger </w:t>
      </w:r>
      <w:r w:rsidR="00895F56">
        <w:t>forlængelse</w:t>
      </w:r>
      <w:r>
        <w:t xml:space="preserve"> af projektet, og dermed forlænger </w:t>
      </w:r>
      <w:r w:rsidR="00895F56">
        <w:t>projekt</w:t>
      </w:r>
      <w:r>
        <w:t xml:space="preserve">perioden til at fortsætte </w:t>
      </w:r>
      <w:r w:rsidRPr="00B03D6A">
        <w:rPr>
          <w:color w:val="FF0000"/>
          <w:u w:val="single"/>
        </w:rPr>
        <w:t>efter 31.</w:t>
      </w:r>
      <w:r w:rsidR="00895F56">
        <w:rPr>
          <w:color w:val="FF0000"/>
          <w:u w:val="single"/>
        </w:rPr>
        <w:t xml:space="preserve"> december </w:t>
      </w:r>
      <w:r w:rsidRPr="00B03D6A">
        <w:rPr>
          <w:color w:val="FF0000"/>
          <w:u w:val="single"/>
        </w:rPr>
        <w:t>2021</w:t>
      </w:r>
      <w:r>
        <w:t xml:space="preserve">, skal bevillingshaver uanset baggrunden for forlængelsen, anvende Format B. </w:t>
      </w:r>
    </w:p>
    <w:p w14:paraId="7FD0439D" w14:textId="77777777" w:rsidR="008B2A54" w:rsidRPr="008B2A54" w:rsidRDefault="008B2A54"/>
    <w:p w14:paraId="7EAC364D" w14:textId="53A20316" w:rsidR="00571A0A" w:rsidRPr="00C10DBA" w:rsidRDefault="00571A0A" w:rsidP="00B03D6A">
      <w:pPr>
        <w:pStyle w:val="Overskrift2"/>
        <w:rPr>
          <w:b/>
          <w:bCs/>
        </w:rPr>
      </w:pPr>
      <w:r w:rsidRPr="00C10DBA">
        <w:rPr>
          <w:b/>
          <w:bCs/>
        </w:rPr>
        <w:t>Regnskabsformat med overhead og driftsudgifter; Format B</w:t>
      </w:r>
    </w:p>
    <w:p w14:paraId="072AE9EB" w14:textId="199A42E5" w:rsidR="004F79CF" w:rsidRDefault="00895F56" w:rsidP="004F79CF">
      <w:r>
        <w:t>R</w:t>
      </w:r>
      <w:r w:rsidR="004F79CF">
        <w:t>egnskabsformat</w:t>
      </w:r>
      <w:r w:rsidR="00EC7656">
        <w:t xml:space="preserve"> B</w:t>
      </w:r>
      <w:r w:rsidR="004F79CF">
        <w:t xml:space="preserve"> anvendes for alle bevillinger med </w:t>
      </w:r>
      <w:r w:rsidR="004F79CF" w:rsidRPr="007411AB">
        <w:rPr>
          <w:color w:val="FF0000"/>
        </w:rPr>
        <w:t>startdato før 1</w:t>
      </w:r>
      <w:r>
        <w:rPr>
          <w:color w:val="FF0000"/>
        </w:rPr>
        <w:t>. september</w:t>
      </w:r>
      <w:r w:rsidR="004F79CF" w:rsidRPr="007411AB">
        <w:rPr>
          <w:color w:val="FF0000"/>
        </w:rPr>
        <w:t xml:space="preserve"> 2021</w:t>
      </w:r>
      <w:r w:rsidR="004F79CF" w:rsidRPr="00895F56">
        <w:rPr>
          <w:color w:val="FF0000"/>
        </w:rPr>
        <w:t xml:space="preserve"> og slutdato </w:t>
      </w:r>
      <w:r w:rsidR="00EC7656" w:rsidRPr="00895F56">
        <w:rPr>
          <w:color w:val="FF0000"/>
        </w:rPr>
        <w:t>efter</w:t>
      </w:r>
      <w:r w:rsidR="004F79CF" w:rsidRPr="00895F56">
        <w:rPr>
          <w:color w:val="FF0000"/>
        </w:rPr>
        <w:t xml:space="preserve"> 31</w:t>
      </w:r>
      <w:r w:rsidRPr="00895F56">
        <w:rPr>
          <w:color w:val="FF0000"/>
        </w:rPr>
        <w:t xml:space="preserve">. december </w:t>
      </w:r>
      <w:r w:rsidR="004F79CF" w:rsidRPr="00895F56">
        <w:rPr>
          <w:color w:val="FF0000"/>
        </w:rPr>
        <w:t>2021</w:t>
      </w:r>
      <w:r w:rsidR="004F79CF">
        <w:t>. Slutdato betyder</w:t>
      </w:r>
      <w:r w:rsidR="00F8589E">
        <w:t>,</w:t>
      </w:r>
      <w:r w:rsidR="004F79CF">
        <w:t xml:space="preserve"> at </w:t>
      </w:r>
      <w:r w:rsidR="004F79CF" w:rsidRPr="00B03D6A">
        <w:rPr>
          <w:color w:val="FF0000"/>
          <w:u w:val="single"/>
        </w:rPr>
        <w:t xml:space="preserve">alle projektets aktiviteter afsluttes </w:t>
      </w:r>
      <w:r w:rsidR="00EC7656">
        <w:rPr>
          <w:color w:val="FF0000"/>
          <w:u w:val="single"/>
        </w:rPr>
        <w:t>efter</w:t>
      </w:r>
      <w:r w:rsidR="004F79CF" w:rsidRPr="00B03D6A">
        <w:rPr>
          <w:color w:val="FF0000"/>
          <w:u w:val="single"/>
        </w:rPr>
        <w:t xml:space="preserve"> den 31.</w:t>
      </w:r>
      <w:r>
        <w:rPr>
          <w:color w:val="FF0000"/>
          <w:u w:val="single"/>
        </w:rPr>
        <w:t xml:space="preserve"> december </w:t>
      </w:r>
      <w:r w:rsidR="004F79CF" w:rsidRPr="00B03D6A">
        <w:rPr>
          <w:color w:val="FF0000"/>
          <w:u w:val="single"/>
        </w:rPr>
        <w:t>2021</w:t>
      </w:r>
      <w:r w:rsidR="004F79CF">
        <w:t>, og bevillingshaver derefter indsender afsluttende rapport samt revideret afsluttende regnskab indenfor deadlines i h</w:t>
      </w:r>
      <w:r>
        <w:t>enhold til</w:t>
      </w:r>
      <w:r w:rsidR="004F79CF">
        <w:t xml:space="preserve"> kontrakten. </w:t>
      </w:r>
    </w:p>
    <w:p w14:paraId="1EC76888" w14:textId="411466F5" w:rsidR="00EC7656" w:rsidRDefault="00EC7656" w:rsidP="00EC7656">
      <w:r>
        <w:t>Man</w:t>
      </w:r>
      <w:r w:rsidRPr="008B2A54">
        <w:t xml:space="preserve"> kan kende Format </w:t>
      </w:r>
      <w:r w:rsidR="00C10DBA" w:rsidRPr="00C10DBA">
        <w:rPr>
          <w:b/>
          <w:bCs/>
          <w:u w:val="single"/>
        </w:rPr>
        <w:t>B</w:t>
      </w:r>
      <w:r w:rsidRPr="008B2A54">
        <w:t xml:space="preserve"> </w:t>
      </w:r>
      <w:proofErr w:type="gramStart"/>
      <w:r w:rsidRPr="008B2A54">
        <w:t>ved</w:t>
      </w:r>
      <w:r w:rsidR="00F8589E">
        <w:t>,</w:t>
      </w:r>
      <w:proofErr w:type="gramEnd"/>
      <w:r w:rsidRPr="008B2A54">
        <w:t xml:space="preserve"> at note 2 </w:t>
      </w:r>
      <w:r>
        <w:t>ha</w:t>
      </w:r>
      <w:r w:rsidRPr="008B2A54">
        <w:t xml:space="preserve">r </w:t>
      </w:r>
      <w:r>
        <w:t xml:space="preserve">titlen </w:t>
      </w:r>
      <w:r w:rsidRPr="008B2A54">
        <w:rPr>
          <w:rFonts w:ascii="Calibri" w:eastAsia="Times New Roman" w:hAnsi="Calibri" w:cs="Calibri"/>
          <w:i/>
          <w:iCs/>
          <w:lang w:eastAsia="da-DK"/>
        </w:rPr>
        <w:t>Dansk timeanvendelse</w:t>
      </w:r>
      <w:r w:rsidRPr="00EC7656">
        <w:t xml:space="preserve"> </w:t>
      </w:r>
      <w:r w:rsidRPr="00EC7656">
        <w:rPr>
          <w:rFonts w:ascii="Calibri" w:eastAsia="Times New Roman" w:hAnsi="Calibri" w:cs="Calibri"/>
          <w:b/>
          <w:bCs/>
          <w:i/>
          <w:iCs/>
          <w:u w:val="single"/>
          <w:lang w:eastAsia="da-DK"/>
        </w:rPr>
        <w:t>og driftsomkostninger</w:t>
      </w:r>
      <w:r w:rsidRPr="008B2A54">
        <w:rPr>
          <w:rFonts w:ascii="Calibri" w:eastAsia="Times New Roman" w:hAnsi="Calibri" w:cs="Calibri"/>
          <w:i/>
          <w:iCs/>
          <w:lang w:eastAsia="da-DK"/>
        </w:rPr>
        <w:t xml:space="preserve"> udspecificeret</w:t>
      </w:r>
      <w:r w:rsidRPr="008B2A54">
        <w:rPr>
          <w:rFonts w:ascii="Calibri" w:eastAsia="Times New Roman" w:hAnsi="Calibri" w:cs="Calibri"/>
          <w:lang w:eastAsia="da-DK"/>
        </w:rPr>
        <w:t xml:space="preserve"> </w:t>
      </w:r>
      <w:r>
        <w:rPr>
          <w:rFonts w:ascii="Calibri" w:eastAsia="Times New Roman" w:hAnsi="Calibri" w:cs="Calibri"/>
          <w:lang w:eastAsia="da-DK"/>
        </w:rPr>
        <w:t xml:space="preserve">(For støtte til ansøgningsproces er dette note 1). </w:t>
      </w:r>
    </w:p>
    <w:p w14:paraId="7265F387" w14:textId="7B8DC27B" w:rsidR="00EC7656" w:rsidRDefault="004F79CF" w:rsidP="004F79CF">
      <w:r>
        <w:t>Det er vigtigt</w:t>
      </w:r>
      <w:r w:rsidR="00F8589E">
        <w:t>,</w:t>
      </w:r>
      <w:r>
        <w:t xml:space="preserve"> at bevillingshaver udfylder note 2 korrekt for projektet, idet der kan afregnes overhead til og med 31.</w:t>
      </w:r>
      <w:r w:rsidR="00895F56">
        <w:t xml:space="preserve"> december </w:t>
      </w:r>
      <w:r>
        <w:t>2021, såfremt dette var inkluderet i det godkendte bevillingsbudget</w:t>
      </w:r>
      <w:r w:rsidR="00F8589E">
        <w:t>.</w:t>
      </w:r>
      <w:r>
        <w:t xml:space="preserve"> </w:t>
      </w:r>
      <w:r w:rsidR="00F8589E">
        <w:t>D</w:t>
      </w:r>
      <w:r>
        <w:t>et skal</w:t>
      </w:r>
      <w:r w:rsidR="00F8589E">
        <w:t xml:space="preserve"> også</w:t>
      </w:r>
      <w:r>
        <w:t xml:space="preserve"> sikres</w:t>
      </w:r>
      <w:r w:rsidR="00A24C31">
        <w:t>,</w:t>
      </w:r>
      <w:r>
        <w:t xml:space="preserve"> at revisor revidere</w:t>
      </w:r>
      <w:r w:rsidR="00F8589E">
        <w:t>r</w:t>
      </w:r>
      <w:r>
        <w:t xml:space="preserve"> dette i h</w:t>
      </w:r>
      <w:r w:rsidR="00895F56">
        <w:t>enhold til</w:t>
      </w:r>
      <w:r>
        <w:t xml:space="preserve"> gældende retningslinjer og vejledninger for overhead, timeregistrering m.v</w:t>
      </w:r>
      <w:r w:rsidR="00EC7656">
        <w:t>. Der kan regnskabsaflægges overhead til og med 2021, og dermed også tidligere år i projektperiode</w:t>
      </w:r>
      <w:r w:rsidR="00895F56">
        <w:t>n</w:t>
      </w:r>
      <w:r w:rsidR="00EC7656">
        <w:t xml:space="preserve">. </w:t>
      </w:r>
    </w:p>
    <w:p w14:paraId="6403FF2F" w14:textId="378E8F9F" w:rsidR="00610F39" w:rsidRDefault="00895F56" w:rsidP="004F79CF">
      <w:r>
        <w:t>O</w:t>
      </w:r>
      <w:r w:rsidR="00EC7656">
        <w:t>verhead</w:t>
      </w:r>
      <w:r>
        <w:t xml:space="preserve">, </w:t>
      </w:r>
      <w:r w:rsidR="00EC7656">
        <w:t>der er budgetteret med fra 1.</w:t>
      </w:r>
      <w:r w:rsidR="00602E01">
        <w:t xml:space="preserve"> </w:t>
      </w:r>
      <w:r w:rsidR="00EC7656">
        <w:t>januar 2022</w:t>
      </w:r>
      <w:r w:rsidR="00F8589E">
        <w:t>,</w:t>
      </w:r>
      <w:r w:rsidR="00EC7656">
        <w:t xml:space="preserve"> kan ikke </w:t>
      </w:r>
      <w:proofErr w:type="spellStart"/>
      <w:r w:rsidR="00EC7656">
        <w:t>regnskabsføres</w:t>
      </w:r>
      <w:proofErr w:type="spellEnd"/>
      <w:r w:rsidR="00EC7656">
        <w:t xml:space="preserve"> </w:t>
      </w:r>
      <w:r w:rsidR="00602E01">
        <w:t xml:space="preserve">som overhead </w:t>
      </w:r>
      <w:r w:rsidR="00EC7656">
        <w:t xml:space="preserve">uanset timeregistrering m.v. </w:t>
      </w:r>
      <w:r w:rsidR="008B393E">
        <w:t>Overhead</w:t>
      </w:r>
      <w:r w:rsidR="00F8589E">
        <w:t xml:space="preserve"> </w:t>
      </w:r>
      <w:r w:rsidR="00EC7656">
        <w:t xml:space="preserve">skal i stedet </w:t>
      </w:r>
      <w:proofErr w:type="spellStart"/>
      <w:r w:rsidR="00EC7656">
        <w:t>regnskabsføres</w:t>
      </w:r>
      <w:proofErr w:type="spellEnd"/>
      <w:r w:rsidR="00EC7656">
        <w:t xml:space="preserve"> til dækning af driftsudgifter for bevillingshaver. U</w:t>
      </w:r>
      <w:r>
        <w:t>denrigsministeriets</w:t>
      </w:r>
      <w:r w:rsidR="00EC7656">
        <w:t xml:space="preserve"> retningslinjer for nuværende beskriver overhead som en </w:t>
      </w:r>
      <w:r w:rsidR="00EC7656" w:rsidRPr="00EC7656">
        <w:rPr>
          <w:i/>
          <w:iCs/>
        </w:rPr>
        <w:t>forholdsmæssig dækning af generelle driftsomkostninger</w:t>
      </w:r>
      <w:r w:rsidR="00EC7656">
        <w:t xml:space="preserve">. Derfor skal overhead i bevillingernes budgetter i princippet omdøbes til </w:t>
      </w:r>
      <w:r w:rsidR="00EC7656" w:rsidRPr="00610F39">
        <w:rPr>
          <w:i/>
          <w:iCs/>
        </w:rPr>
        <w:t>Driftsomkostninger forholdsmæssig dækning</w:t>
      </w:r>
      <w:r w:rsidR="00EC7656">
        <w:t xml:space="preserve">. </w:t>
      </w:r>
      <w:r w:rsidR="008B393E">
        <w:t xml:space="preserve">Da </w:t>
      </w:r>
      <w:r w:rsidR="00EC7656">
        <w:t xml:space="preserve">denne ændring </w:t>
      </w:r>
      <w:r w:rsidR="008B393E">
        <w:t xml:space="preserve">sker på underbudgetlinjer i </w:t>
      </w:r>
      <w:r w:rsidR="00EC7656">
        <w:t>budgettet</w:t>
      </w:r>
      <w:r w:rsidR="008B393E">
        <w:t>,</w:t>
      </w:r>
      <w:r w:rsidR="00EC7656">
        <w:t xml:space="preserve"> ændrer </w:t>
      </w:r>
      <w:r w:rsidR="008B393E">
        <w:t xml:space="preserve">det </w:t>
      </w:r>
      <w:r w:rsidR="00EC7656">
        <w:t xml:space="preserve">ikke </w:t>
      </w:r>
      <w:r w:rsidR="008B393E">
        <w:t xml:space="preserve">på hovedbudgetlinjerne i </w:t>
      </w:r>
      <w:r w:rsidR="00EC7656">
        <w:t>budgettet godkendt af CISU</w:t>
      </w:r>
      <w:r w:rsidR="00610F39">
        <w:t>.</w:t>
      </w:r>
    </w:p>
    <w:p w14:paraId="381C0019" w14:textId="55AED445" w:rsidR="007411AB" w:rsidRDefault="00EC7656" w:rsidP="004F79CF">
      <w:r>
        <w:lastRenderedPageBreak/>
        <w:t>Det er dog vigtigt</w:t>
      </w:r>
      <w:r w:rsidR="00895F56">
        <w:t>,</w:t>
      </w:r>
      <w:r>
        <w:t xml:space="preserve"> at bevillingshaver afklarer med egen revisor, hvorledes der skal afregnes for dækning af driftsomkostninger, og hvilke ændringer dette evt. medfører i regnskabssystemet. Bilag og dokumentation for udgifterne til den forholdsmæssige dækning er bevillingshavers reelle udgifter til foreningens drift. </w:t>
      </w:r>
    </w:p>
    <w:p w14:paraId="231DA283" w14:textId="5B6D150B" w:rsidR="00EC7656" w:rsidRDefault="00EC7656" w:rsidP="004F79CF">
      <w:r w:rsidRPr="00EC7656">
        <w:t xml:space="preserve">Bevillingshaverne må gerne afregne </w:t>
      </w:r>
      <w:r>
        <w:t>samlede beløb til driften</w:t>
      </w:r>
      <w:r w:rsidRPr="00EC7656">
        <w:t xml:space="preserve"> fra bevilling til forening, så længe foreningsregnskabet indeholder dokumentationen, som revisor reviderer i f</w:t>
      </w:r>
      <w:r w:rsidR="008B393E">
        <w:t>orbindelse med</w:t>
      </w:r>
      <w:r w:rsidRPr="00EC7656">
        <w:t xml:space="preserve"> bevillingsregnskabet.</w:t>
      </w:r>
      <w:r>
        <w:t xml:space="preserve"> </w:t>
      </w:r>
      <w:r w:rsidRPr="00EC7656">
        <w:t>Dette er</w:t>
      </w:r>
      <w:r w:rsidR="00F8589E">
        <w:t>,</w:t>
      </w:r>
      <w:r w:rsidRPr="00EC7656">
        <w:t xml:space="preserve"> hvad revisor skal forholde sig til</w:t>
      </w:r>
      <w:r w:rsidR="00610F39">
        <w:t xml:space="preserve"> i f</w:t>
      </w:r>
      <w:r w:rsidR="008B393E">
        <w:t>orhold til</w:t>
      </w:r>
      <w:r w:rsidR="00610F39">
        <w:t xml:space="preserve"> afregning af dækning af driftsomkostninger</w:t>
      </w:r>
      <w:r w:rsidRPr="00EC7656">
        <w:t>, sammen med forvaltningsrevisionen, dvs. sparsommelighed, effektivitet m.v.</w:t>
      </w:r>
    </w:p>
    <w:p w14:paraId="2C58B66A" w14:textId="77777777" w:rsidR="00F75177" w:rsidRDefault="00F75177"/>
    <w:p w14:paraId="1FBDAE30" w14:textId="2EF172EC" w:rsidR="00571A0A" w:rsidRPr="00362F93" w:rsidRDefault="00571A0A" w:rsidP="00B03D6A">
      <w:pPr>
        <w:pStyle w:val="Overskrift2"/>
        <w:rPr>
          <w:b/>
          <w:bCs/>
        </w:rPr>
      </w:pPr>
      <w:r w:rsidRPr="00362F93">
        <w:rPr>
          <w:b/>
          <w:bCs/>
        </w:rPr>
        <w:t>Regnskabsformat C</w:t>
      </w:r>
    </w:p>
    <w:p w14:paraId="72BD12E6" w14:textId="7CCB32D0" w:rsidR="00C10DBA" w:rsidRDefault="008B393E" w:rsidP="00C10DBA">
      <w:r>
        <w:t>R</w:t>
      </w:r>
      <w:r w:rsidR="00C10DBA">
        <w:t xml:space="preserve">egnskabsformat C anvendes for </w:t>
      </w:r>
      <w:r w:rsidR="00C10DBA" w:rsidRPr="007411AB">
        <w:rPr>
          <w:color w:val="FF0000"/>
        </w:rPr>
        <w:t>alle bevillinger med startdato fra 1</w:t>
      </w:r>
      <w:r>
        <w:rPr>
          <w:color w:val="FF0000"/>
        </w:rPr>
        <w:t>. september</w:t>
      </w:r>
      <w:r w:rsidR="00C10DBA" w:rsidRPr="007411AB">
        <w:rPr>
          <w:color w:val="FF0000"/>
        </w:rPr>
        <w:t xml:space="preserve"> 2021</w:t>
      </w:r>
      <w:r w:rsidR="00C10DBA">
        <w:t xml:space="preserve">, uanset slutdato. </w:t>
      </w:r>
    </w:p>
    <w:p w14:paraId="45D96778" w14:textId="6BF7B2B4" w:rsidR="008B393E" w:rsidRPr="00013D52" w:rsidRDefault="00013D52" w:rsidP="00C10DBA">
      <w:pPr>
        <w:rPr>
          <w:rFonts w:ascii="Calibri" w:eastAsia="Times New Roman" w:hAnsi="Calibri" w:cs="Calibri"/>
          <w:lang w:eastAsia="da-DK"/>
        </w:rPr>
      </w:pPr>
      <w:r>
        <w:t>Regnskabet følger det nye budget</w:t>
      </w:r>
      <w:r w:rsidR="003B3BB3">
        <w:t>format</w:t>
      </w:r>
      <w:r>
        <w:t>.</w:t>
      </w:r>
      <w:r w:rsidR="00C10DBA">
        <w:rPr>
          <w:rFonts w:ascii="Calibri" w:eastAsia="Times New Roman" w:hAnsi="Calibri" w:cs="Calibri"/>
          <w:lang w:eastAsia="da-DK"/>
        </w:rPr>
        <w:t xml:space="preserve"> Som beskrevet ovenfor i indledningen, er overhead i de nye budgetter erstattet af </w:t>
      </w:r>
      <w:r w:rsidR="00C10DBA">
        <w:t>mulighede</w:t>
      </w:r>
      <w:r w:rsidR="008B393E">
        <w:t>n</w:t>
      </w:r>
      <w:r w:rsidR="00C10DBA">
        <w:t xml:space="preserve"> for, at den danske organisation kan medtage projektunderstøttende omkostninger </w:t>
      </w:r>
      <w:r w:rsidR="008B393E">
        <w:t>i budgettet. På denne måde har den danske organisation mulighed for at få dækket en rimelig andel af projektets udgifter til f.eks. kontorhold, lønning af ledelse, lønandel til tværgående medarbejdere, IT-udstyr etc.</w:t>
      </w:r>
    </w:p>
    <w:p w14:paraId="2662965D" w14:textId="6C3A5A9D" w:rsidR="00C10DBA" w:rsidRDefault="007411AB" w:rsidP="00C10DBA">
      <w:r>
        <w:t xml:space="preserve">Det anbefales at anvende hjælpearket til regnskabet ved udarbejdelsen af det afsluttende regnskab, da dette Excel-ark er kodet med referencer til de korrekte celler i resultatopgørelsens budget og regnskab. </w:t>
      </w:r>
    </w:p>
    <w:p w14:paraId="7B5FEE93" w14:textId="27C60511" w:rsidR="00571A0A" w:rsidRDefault="00571A0A"/>
    <w:sectPr w:rsidR="00571A0A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18BD2" w14:textId="77777777" w:rsidR="006729BF" w:rsidRDefault="006729BF" w:rsidP="006729BF">
      <w:pPr>
        <w:spacing w:after="0" w:line="240" w:lineRule="auto"/>
      </w:pPr>
      <w:r>
        <w:separator/>
      </w:r>
    </w:p>
  </w:endnote>
  <w:endnote w:type="continuationSeparator" w:id="0">
    <w:p w14:paraId="3A37C4F8" w14:textId="77777777" w:rsidR="006729BF" w:rsidRDefault="006729BF" w:rsidP="0067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0609244"/>
      <w:docPartObj>
        <w:docPartGallery w:val="Page Numbers (Bottom of Page)"/>
        <w:docPartUnique/>
      </w:docPartObj>
    </w:sdtPr>
    <w:sdtEndPr/>
    <w:sdtContent>
      <w:p w14:paraId="4F8E0756" w14:textId="50C7180F" w:rsidR="00F94322" w:rsidRDefault="00F9432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F6EC78" w14:textId="77777777" w:rsidR="00F94322" w:rsidRDefault="00F943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88B57" w14:textId="77777777" w:rsidR="006729BF" w:rsidRDefault="006729BF" w:rsidP="006729BF">
      <w:pPr>
        <w:spacing w:after="0" w:line="240" w:lineRule="auto"/>
      </w:pPr>
      <w:r>
        <w:separator/>
      </w:r>
    </w:p>
  </w:footnote>
  <w:footnote w:type="continuationSeparator" w:id="0">
    <w:p w14:paraId="27940174" w14:textId="77777777" w:rsidR="006729BF" w:rsidRDefault="006729BF" w:rsidP="0067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DDDD9" w14:textId="2D126CB8" w:rsidR="006729BF" w:rsidRDefault="00A45713">
    <w:pPr>
      <w:pStyle w:val="Sidehoved"/>
      <w:rPr>
        <w:sz w:val="24"/>
        <w:szCs w:val="24"/>
      </w:rPr>
    </w:pPr>
    <w:sdt>
      <w:sdtPr>
        <w:rPr>
          <w:rStyle w:val="Overskrift1Tegn"/>
        </w:rPr>
        <w:alias w:val="Titel"/>
        <w:id w:val="78404852"/>
        <w:placeholder>
          <w:docPart w:val="3414F97E725641F198532C64AF113D9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6729BF">
          <w:rPr>
            <w:rStyle w:val="Overskrift1Tegn"/>
          </w:rPr>
          <w:t>Vejledning til regnskab</w:t>
        </w:r>
        <w:r>
          <w:rPr>
            <w:rStyle w:val="Overskrift1Tegn"/>
          </w:rPr>
          <w:t>sformater</w:t>
        </w:r>
        <w:r w:rsidRPr="006729BF">
          <w:rPr>
            <w:rStyle w:val="Overskrift1Tegn"/>
          </w:rPr>
          <w:t xml:space="preserve"> for bevillinger fra Civilsamfundspuljen</w:t>
        </w:r>
        <w:r>
          <w:rPr>
            <w:rStyle w:val="Overskrift1Tegn"/>
          </w:rPr>
          <w:t xml:space="preserve"> inkl. Engagementspuljen og Styrkelse af Civilsamfundets Råderum - oktober 2021</w:t>
        </w:r>
      </w:sdtContent>
    </w:sdt>
    <w:r w:rsidR="006729BF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</w:p>
  <w:p w14:paraId="1DFBF7CE" w14:textId="77777777" w:rsidR="006729BF" w:rsidRDefault="006729B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360CA"/>
    <w:multiLevelType w:val="hybridMultilevel"/>
    <w:tmpl w:val="683E6848"/>
    <w:lvl w:ilvl="0" w:tplc="9DAC57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50"/>
    <w:rsid w:val="00013D52"/>
    <w:rsid w:val="00201793"/>
    <w:rsid w:val="00303E2A"/>
    <w:rsid w:val="00362F93"/>
    <w:rsid w:val="003B3BB3"/>
    <w:rsid w:val="00425D53"/>
    <w:rsid w:val="004C25D8"/>
    <w:rsid w:val="004F6850"/>
    <w:rsid w:val="004F79CF"/>
    <w:rsid w:val="00571A0A"/>
    <w:rsid w:val="00590FEF"/>
    <w:rsid w:val="005D2652"/>
    <w:rsid w:val="00602E01"/>
    <w:rsid w:val="00610F39"/>
    <w:rsid w:val="006729BF"/>
    <w:rsid w:val="007411AB"/>
    <w:rsid w:val="00895F56"/>
    <w:rsid w:val="008B2A54"/>
    <w:rsid w:val="008B393E"/>
    <w:rsid w:val="009028AF"/>
    <w:rsid w:val="0093164B"/>
    <w:rsid w:val="009729D0"/>
    <w:rsid w:val="00A24C31"/>
    <w:rsid w:val="00A436AE"/>
    <w:rsid w:val="00A45713"/>
    <w:rsid w:val="00AD7A23"/>
    <w:rsid w:val="00B03D6A"/>
    <w:rsid w:val="00B27912"/>
    <w:rsid w:val="00B805F8"/>
    <w:rsid w:val="00C10DBA"/>
    <w:rsid w:val="00C40343"/>
    <w:rsid w:val="00C94A18"/>
    <w:rsid w:val="00D0573A"/>
    <w:rsid w:val="00EB126B"/>
    <w:rsid w:val="00EC7656"/>
    <w:rsid w:val="00F75177"/>
    <w:rsid w:val="00F8589E"/>
    <w:rsid w:val="00F9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EA9E50"/>
  <w15:chartTrackingRefBased/>
  <w15:docId w15:val="{7B46CFBE-414F-467F-81CB-38E811CF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850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F6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F68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F68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4F68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68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425D53"/>
    <w:pPr>
      <w:spacing w:after="0" w:line="240" w:lineRule="auto"/>
      <w:ind w:left="720"/>
    </w:pPr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unhideWhenUsed/>
    <w:rsid w:val="00672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29BF"/>
  </w:style>
  <w:style w:type="paragraph" w:styleId="Sidefod">
    <w:name w:val="footer"/>
    <w:basedOn w:val="Normal"/>
    <w:link w:val="SidefodTegn"/>
    <w:uiPriority w:val="99"/>
    <w:unhideWhenUsed/>
    <w:rsid w:val="00672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29BF"/>
  </w:style>
  <w:style w:type="character" w:styleId="Kommentarhenvisning">
    <w:name w:val="annotation reference"/>
    <w:basedOn w:val="Standardskrifttypeiafsnit"/>
    <w:uiPriority w:val="99"/>
    <w:semiHidden/>
    <w:unhideWhenUsed/>
    <w:rsid w:val="00A436A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436A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436A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436A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436AE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436A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43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14F97E725641F198532C64AF113D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7EEA83-EDB5-4B24-A54D-2CD5D2C2A5CD}"/>
      </w:docPartPr>
      <w:docPartBody>
        <w:p w:rsidR="00D51BE1" w:rsidRDefault="00E81106" w:rsidP="00E81106">
          <w:pPr>
            <w:pStyle w:val="3414F97E725641F198532C64AF113D9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06"/>
    <w:rsid w:val="00D51BE1"/>
    <w:rsid w:val="00E8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414F97E725641F198532C64AF113D91">
    <w:name w:val="3414F97E725641F198532C64AF113D91"/>
    <w:rsid w:val="00E81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2CEDF9-5619-4DA6-9EF2-78E85E76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949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til regnskaber for bevillinger fra Civilsamfundspuljen, oktober 2021</vt:lpstr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regnskabsformater for bevillinger fra Civilsamfundspuljen inkl. Engagementspuljen og Styrkelse af Civilsamfundets Råderum - oktober 2021</dc:title>
  <dc:subject/>
  <dc:creator>Bolette Kornum</dc:creator>
  <cp:keywords/>
  <dc:description/>
  <cp:lastModifiedBy>Karla Hammerskov</cp:lastModifiedBy>
  <cp:revision>6</cp:revision>
  <dcterms:created xsi:type="dcterms:W3CDTF">2021-10-13T07:22:00Z</dcterms:created>
  <dcterms:modified xsi:type="dcterms:W3CDTF">2021-10-13T08:34:00Z</dcterms:modified>
</cp:coreProperties>
</file>