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DC74F" w14:textId="5EAF046F" w:rsidR="00A77C18" w:rsidRPr="003902D1" w:rsidRDefault="009038EA" w:rsidP="009C354B">
      <w:pPr>
        <w:pStyle w:val="Overskrift1"/>
        <w:rPr>
          <w:b/>
          <w:bCs/>
          <w:sz w:val="48"/>
          <w:szCs w:val="48"/>
        </w:rPr>
      </w:pPr>
      <w:r w:rsidRPr="003902D1">
        <w:rPr>
          <w:b/>
          <w:bCs/>
          <w:sz w:val="48"/>
          <w:szCs w:val="48"/>
        </w:rPr>
        <w:t>Adfæ</w:t>
      </w:r>
      <w:r w:rsidR="00DD7240" w:rsidRPr="003902D1">
        <w:rPr>
          <w:b/>
          <w:bCs/>
          <w:sz w:val="48"/>
          <w:szCs w:val="48"/>
        </w:rPr>
        <w:t>r</w:t>
      </w:r>
      <w:r w:rsidRPr="003902D1">
        <w:rPr>
          <w:b/>
          <w:bCs/>
          <w:sz w:val="48"/>
          <w:szCs w:val="48"/>
        </w:rPr>
        <w:t>dskodeks</w:t>
      </w:r>
      <w:r w:rsidR="009C354B" w:rsidRPr="003902D1">
        <w:rPr>
          <w:b/>
          <w:bCs/>
          <w:sz w:val="48"/>
          <w:szCs w:val="48"/>
        </w:rPr>
        <w:t xml:space="preserve"> for </w:t>
      </w:r>
      <w:r w:rsidR="00DD7240" w:rsidRPr="003902D1">
        <w:rPr>
          <w:b/>
          <w:bCs/>
          <w:sz w:val="48"/>
          <w:szCs w:val="48"/>
        </w:rPr>
        <w:t>[</w:t>
      </w:r>
      <w:r w:rsidR="00DD7240" w:rsidRPr="00291DF4">
        <w:rPr>
          <w:b/>
          <w:color w:val="FF0000"/>
          <w:sz w:val="48"/>
          <w:szCs w:val="48"/>
        </w:rPr>
        <w:t>organisationsnavn</w:t>
      </w:r>
      <w:r w:rsidR="00DD7240" w:rsidRPr="003902D1">
        <w:rPr>
          <w:b/>
          <w:bCs/>
          <w:sz w:val="48"/>
          <w:szCs w:val="48"/>
        </w:rPr>
        <w:t>]</w:t>
      </w:r>
    </w:p>
    <w:p w14:paraId="6174EB90" w14:textId="77777777" w:rsidR="00DD7240" w:rsidRDefault="00DD7240" w:rsidP="00DD7240"/>
    <w:p w14:paraId="3FC690BC" w14:textId="30092AE1" w:rsidR="00DD7240" w:rsidRPr="003902D1" w:rsidRDefault="003902D1" w:rsidP="003902D1">
      <w:pPr>
        <w:pStyle w:val="Overskrift1"/>
        <w:rPr>
          <w:b/>
          <w:bCs/>
        </w:rPr>
      </w:pPr>
      <w:r w:rsidRPr="003902D1">
        <w:rPr>
          <w:b/>
          <w:bCs/>
        </w:rPr>
        <w:t>Introduktion</w:t>
      </w:r>
    </w:p>
    <w:p w14:paraId="5FA1718B" w14:textId="440F8E83" w:rsidR="00CD05F8" w:rsidRDefault="009C3D84" w:rsidP="00EA50E0">
      <w:pPr>
        <w:spacing w:after="0" w:line="276" w:lineRule="auto"/>
      </w:pPr>
      <w:r w:rsidRPr="00B04D55">
        <w:rPr>
          <w:color w:val="FF0000"/>
        </w:rPr>
        <w:t>[</w:t>
      </w:r>
      <w:r w:rsidR="00882257" w:rsidRPr="00B04D55">
        <w:rPr>
          <w:color w:val="FF0000"/>
        </w:rPr>
        <w:t>O</w:t>
      </w:r>
      <w:r w:rsidRPr="00B04D55">
        <w:rPr>
          <w:color w:val="FF0000"/>
        </w:rPr>
        <w:t xml:space="preserve">rganisationsnavn] </w:t>
      </w:r>
      <w:r w:rsidR="00EA50E0">
        <w:t xml:space="preserve">er </w:t>
      </w:r>
      <w:r>
        <w:t>forpligtet til at opretholde den højeste grad af etisk adfærd</w:t>
      </w:r>
      <w:r w:rsidR="00797AF9">
        <w:t xml:space="preserve"> blandt sit personale</w:t>
      </w:r>
      <w:r w:rsidR="00E30263">
        <w:t>, tilknyttet personale, underleverandører og frivillige</w:t>
      </w:r>
      <w:r w:rsidR="00EA50E0">
        <w:t xml:space="preserve"> i relation til værdier og visioner</w:t>
      </w:r>
      <w:r w:rsidR="00E30263">
        <w:t xml:space="preserve">. </w:t>
      </w:r>
      <w:r w:rsidR="00797AF9">
        <w:t xml:space="preserve">For at </w:t>
      </w:r>
      <w:r w:rsidR="008570EC">
        <w:t xml:space="preserve">styrke dette, uddybes </w:t>
      </w:r>
      <w:r w:rsidR="00797AF9">
        <w:t>forventningerne til [</w:t>
      </w:r>
      <w:r w:rsidR="00797AF9" w:rsidRPr="00B04D55">
        <w:rPr>
          <w:color w:val="FF0000"/>
        </w:rPr>
        <w:t>organisationsnavn</w:t>
      </w:r>
      <w:r w:rsidR="00797AF9">
        <w:t xml:space="preserve">] samt medarbejdere, </w:t>
      </w:r>
      <w:r w:rsidR="00C30A34">
        <w:t>underleverandører</w:t>
      </w:r>
      <w:r w:rsidR="00797AF9">
        <w:t xml:space="preserve"> og frivillige i dette adfærdskodeks. </w:t>
      </w:r>
      <w:r w:rsidR="00A74039">
        <w:rPr>
          <w:b/>
          <w:bCs/>
        </w:rPr>
        <w:br/>
      </w:r>
      <w:r w:rsidR="00A74039">
        <w:rPr>
          <w:b/>
          <w:bCs/>
        </w:rPr>
        <w:br/>
      </w:r>
      <w:r w:rsidR="00CD05F8" w:rsidRPr="00A74039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Anvendelse og formål</w:t>
      </w:r>
    </w:p>
    <w:p w14:paraId="4350E859" w14:textId="76A4DE8E" w:rsidR="003902D1" w:rsidRDefault="00A519F5" w:rsidP="00EA50E0">
      <w:pPr>
        <w:spacing w:after="0" w:line="276" w:lineRule="auto"/>
      </w:pPr>
      <w:r>
        <w:t>Adfærdskodekset gælder for alt personale</w:t>
      </w:r>
      <w:r w:rsidR="00D462E9">
        <w:t xml:space="preserve"> såvel </w:t>
      </w:r>
      <w:r w:rsidR="002275B3">
        <w:t>som underleverandører og frivillige, men</w:t>
      </w:r>
      <w:r w:rsidR="00C30A34">
        <w:t>s</w:t>
      </w:r>
      <w:r w:rsidR="002275B3">
        <w:t xml:space="preserve"> de er engageret i [</w:t>
      </w:r>
      <w:r w:rsidR="002275B3" w:rsidRPr="00B04D55">
        <w:rPr>
          <w:color w:val="FF0000"/>
        </w:rPr>
        <w:t>orga</w:t>
      </w:r>
      <w:r w:rsidR="00C31477" w:rsidRPr="00B04D55">
        <w:rPr>
          <w:color w:val="FF0000"/>
        </w:rPr>
        <w:t>ni</w:t>
      </w:r>
      <w:r w:rsidR="002275B3" w:rsidRPr="00B04D55">
        <w:rPr>
          <w:color w:val="FF0000"/>
        </w:rPr>
        <w:t>sationsnavn</w:t>
      </w:r>
      <w:r w:rsidR="002275B3">
        <w:t xml:space="preserve">] og </w:t>
      </w:r>
      <w:r w:rsidR="00291DF4">
        <w:t>skal udleveres</w:t>
      </w:r>
      <w:r w:rsidR="002275B3">
        <w:t xml:space="preserve"> til alle</w:t>
      </w:r>
      <w:r w:rsidR="007E4974">
        <w:t xml:space="preserve">. Adfærdskodekset gælder både i og uden for arbejdstid, og brud </w:t>
      </w:r>
      <w:r w:rsidR="002D1DC3">
        <w:t xml:space="preserve">på adfærdskodekset kan medføre disciplinære sanktioner, herunder afskedigelse. </w:t>
      </w:r>
    </w:p>
    <w:p w14:paraId="08512633" w14:textId="6718C53C" w:rsidR="00C3709C" w:rsidRDefault="00FD3098" w:rsidP="004C7E2A">
      <w:pPr>
        <w:spacing w:after="0" w:line="276" w:lineRule="auto"/>
      </w:pPr>
      <w:r>
        <w:br/>
      </w:r>
      <w:r w:rsidR="00FB647D">
        <w:t>[</w:t>
      </w:r>
      <w:r w:rsidRPr="00B04D55">
        <w:rPr>
          <w:color w:val="FF0000"/>
        </w:rPr>
        <w:t>O</w:t>
      </w:r>
      <w:r w:rsidR="00FB647D" w:rsidRPr="00B04D55">
        <w:rPr>
          <w:color w:val="FF0000"/>
        </w:rPr>
        <w:t>rganisation</w:t>
      </w:r>
      <w:r w:rsidR="00D215B2" w:rsidRPr="00B04D55">
        <w:rPr>
          <w:color w:val="FF0000"/>
        </w:rPr>
        <w:t>sn</w:t>
      </w:r>
      <w:r w:rsidR="00FB647D" w:rsidRPr="00B04D55">
        <w:rPr>
          <w:color w:val="FF0000"/>
        </w:rPr>
        <w:t>avn</w:t>
      </w:r>
      <w:r w:rsidR="00FB647D">
        <w:t xml:space="preserve">] er </w:t>
      </w:r>
      <w:r w:rsidR="00610FED">
        <w:t>en organisation, som er</w:t>
      </w:r>
      <w:r w:rsidR="00632637">
        <w:t xml:space="preserve"> globalt</w:t>
      </w:r>
      <w:r w:rsidR="00610FED">
        <w:t xml:space="preserve"> engageret</w:t>
      </w:r>
      <w:r w:rsidR="005E2FEF">
        <w:t>, og derfor er adfærdskodekset udvikl</w:t>
      </w:r>
      <w:r>
        <w:t>et</w:t>
      </w:r>
      <w:r w:rsidR="005E2FEF">
        <w:t xml:space="preserve"> på baggrund af internationale love og FN-standarder. [</w:t>
      </w:r>
      <w:r w:rsidR="005E2FEF" w:rsidRPr="00B04D55">
        <w:rPr>
          <w:color w:val="FF0000"/>
        </w:rPr>
        <w:t>Organisationsnavn</w:t>
      </w:r>
      <w:r w:rsidR="005E2FEF">
        <w:t>]</w:t>
      </w:r>
      <w:r>
        <w:t>,</w:t>
      </w:r>
      <w:r w:rsidR="005E2FEF">
        <w:t xml:space="preserve"> </w:t>
      </w:r>
      <w:r w:rsidR="00E843C2">
        <w:t>personale</w:t>
      </w:r>
      <w:r w:rsidR="00ED78FD">
        <w:t>,</w:t>
      </w:r>
      <w:r w:rsidR="00E843C2">
        <w:t xml:space="preserve"> </w:t>
      </w:r>
      <w:r>
        <w:t xml:space="preserve">underleverandører samt frivillige </w:t>
      </w:r>
      <w:r w:rsidR="00E843C2">
        <w:t>forventes at overhol</w:t>
      </w:r>
      <w:r>
        <w:t>d</w:t>
      </w:r>
      <w:r w:rsidR="00E843C2">
        <w:t xml:space="preserve">e lokal lovgivning i det land, hvor de </w:t>
      </w:r>
      <w:r w:rsidR="00D6682F">
        <w:t xml:space="preserve">opholder sig. I tilfælde hvor </w:t>
      </w:r>
      <w:r w:rsidR="00E843C2">
        <w:t>adfærdskodekse</w:t>
      </w:r>
      <w:r w:rsidR="009E37B5">
        <w:t>t</w:t>
      </w:r>
      <w:r w:rsidR="00E843C2">
        <w:t xml:space="preserve"> er</w:t>
      </w:r>
      <w:r w:rsidR="009E37B5">
        <w:t xml:space="preserve"> mere</w:t>
      </w:r>
      <w:r w:rsidR="00E843C2">
        <w:t xml:space="preserve"> </w:t>
      </w:r>
      <w:r w:rsidR="00082251">
        <w:t>omfangsrig</w:t>
      </w:r>
      <w:r w:rsidR="009E37B5">
        <w:t>t</w:t>
      </w:r>
      <w:r w:rsidR="00D6682F">
        <w:t xml:space="preserve"> end den lokale </w:t>
      </w:r>
      <w:r w:rsidR="00082251">
        <w:t>lovgivning</w:t>
      </w:r>
      <w:r w:rsidR="00E843C2">
        <w:t xml:space="preserve">, </w:t>
      </w:r>
      <w:r w:rsidR="00082251">
        <w:t xml:space="preserve">er </w:t>
      </w:r>
      <w:r w:rsidR="008A4AB4">
        <w:t>adfærdskodekset det gældende.</w:t>
      </w:r>
      <w:r w:rsidR="00082251">
        <w:br/>
      </w:r>
      <w:r w:rsidR="00082251">
        <w:br/>
      </w:r>
      <w:r w:rsidR="00014D51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Vision</w:t>
      </w:r>
      <w:r w:rsidR="00082251" w:rsidRPr="00082251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og værdier</w:t>
      </w:r>
    </w:p>
    <w:p w14:paraId="03CD09F0" w14:textId="2F3C202A" w:rsidR="003902D1" w:rsidRPr="00B04D55" w:rsidRDefault="00A67241" w:rsidP="004C7E2A">
      <w:pPr>
        <w:spacing w:after="0"/>
        <w:rPr>
          <w:color w:val="FF0000"/>
        </w:rPr>
      </w:pPr>
      <w:r w:rsidRPr="00B04D55">
        <w:rPr>
          <w:color w:val="FF0000"/>
        </w:rPr>
        <w:t xml:space="preserve">[Indsæt organisationens vision og værdier, som er vigtige i </w:t>
      </w:r>
      <w:r w:rsidR="00F6674A" w:rsidRPr="00B04D55">
        <w:rPr>
          <w:color w:val="FF0000"/>
        </w:rPr>
        <w:t>relation til adfærdskodekset</w:t>
      </w:r>
      <w:r w:rsidRPr="00B04D55">
        <w:rPr>
          <w:color w:val="FF0000"/>
        </w:rPr>
        <w:t>]</w:t>
      </w:r>
    </w:p>
    <w:p w14:paraId="46E7E77B" w14:textId="77777777" w:rsidR="003902D1" w:rsidRDefault="003902D1" w:rsidP="00DD7240"/>
    <w:p w14:paraId="066B7FAE" w14:textId="7163CA20" w:rsidR="004C7E2A" w:rsidRDefault="004C7E2A" w:rsidP="00DD7240">
      <w:r w:rsidRPr="004C7E2A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Standarder i adfærdskodekset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br/>
      </w:r>
      <w:r w:rsidR="00682122">
        <w:t>Som engageret i [</w:t>
      </w:r>
      <w:r w:rsidR="00682122" w:rsidRPr="00B04D55">
        <w:rPr>
          <w:color w:val="FF0000"/>
        </w:rPr>
        <w:t>organisationsnavn</w:t>
      </w:r>
      <w:r w:rsidR="00682122">
        <w:t xml:space="preserve">] </w:t>
      </w:r>
      <w:r w:rsidR="0052527A">
        <w:t xml:space="preserve">støtter </w:t>
      </w:r>
      <w:r w:rsidR="00152685">
        <w:t>alle</w:t>
      </w:r>
      <w:r w:rsidR="0052527A">
        <w:t xml:space="preserve"> op om og lever op til følgende standarder i adfærdskodekset: </w:t>
      </w:r>
      <w:r w:rsidR="0052527A">
        <w:br/>
      </w:r>
    </w:p>
    <w:p w14:paraId="73F9B9D5" w14:textId="0E0D427D" w:rsidR="000C3C2C" w:rsidRDefault="00D773FA" w:rsidP="00CB701E">
      <w:pPr>
        <w:spacing w:after="0"/>
      </w:pPr>
      <w:r w:rsidRPr="00441F63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Anti-korruption</w:t>
      </w:r>
      <w:r w:rsidR="001943EE">
        <w:rPr>
          <w:rStyle w:val="Fodnotehenvisning"/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footnoteReference w:id="2"/>
      </w:r>
    </w:p>
    <w:p w14:paraId="1FB78005" w14:textId="638E457E" w:rsidR="00F6674A" w:rsidRDefault="000C3C2C" w:rsidP="00CB701E">
      <w:pPr>
        <w:pStyle w:val="Listeafsnit"/>
        <w:numPr>
          <w:ilvl w:val="0"/>
          <w:numId w:val="5"/>
        </w:numPr>
        <w:spacing w:after="0"/>
      </w:pPr>
      <w:r>
        <w:t xml:space="preserve">Alle medarbejdere, tilknyttet personale og frivillige </w:t>
      </w:r>
      <w:r w:rsidR="0033348D">
        <w:t>hverken tilbyder eller mod</w:t>
      </w:r>
      <w:r w:rsidR="00577BD3">
        <w:t xml:space="preserve">tager nogle former for </w:t>
      </w:r>
      <w:r w:rsidR="00E7705A">
        <w:t>ydelser</w:t>
      </w:r>
      <w:r w:rsidR="00AE5E8B">
        <w:t xml:space="preserve"> eller</w:t>
      </w:r>
      <w:r w:rsidR="00E7705A">
        <w:t xml:space="preserve"> betaling, der kan anses som en ulovlig eller korrupt praksis</w:t>
      </w:r>
      <w:r w:rsidR="008B7236">
        <w:t>.</w:t>
      </w:r>
    </w:p>
    <w:p w14:paraId="6D99FAAB" w14:textId="033D5F17" w:rsidR="008B7236" w:rsidRDefault="00D6718D" w:rsidP="00CB701E">
      <w:pPr>
        <w:pStyle w:val="Listeafsnit"/>
        <w:numPr>
          <w:ilvl w:val="0"/>
          <w:numId w:val="5"/>
        </w:numPr>
        <w:spacing w:after="0"/>
      </w:pPr>
      <w:r>
        <w:t xml:space="preserve">Enhver form for ulovlig eller korrupt praksis </w:t>
      </w:r>
      <w:r w:rsidR="004D2B36">
        <w:t>kan medføre</w:t>
      </w:r>
      <w:r w:rsidR="0061481A">
        <w:t xml:space="preserve"> disciplinære sanktioner.</w:t>
      </w:r>
    </w:p>
    <w:p w14:paraId="2C0A0265" w14:textId="580D4AE2" w:rsidR="0061481A" w:rsidRDefault="00B569C3" w:rsidP="00CB701E">
      <w:pPr>
        <w:pStyle w:val="Listeafsnit"/>
        <w:numPr>
          <w:ilvl w:val="0"/>
          <w:numId w:val="5"/>
        </w:numPr>
        <w:spacing w:after="0"/>
      </w:pPr>
      <w:r>
        <w:t>[</w:t>
      </w:r>
      <w:r w:rsidRPr="00B04D55">
        <w:rPr>
          <w:color w:val="FF0000"/>
        </w:rPr>
        <w:t>Organisationsnavn</w:t>
      </w:r>
      <w:r>
        <w:t xml:space="preserve">] forpligter sig </w:t>
      </w:r>
      <w:r w:rsidR="005930E6">
        <w:t>samtidig til inden for 14 dage at ind</w:t>
      </w:r>
      <w:r w:rsidR="00942637">
        <w:t>be</w:t>
      </w:r>
      <w:r w:rsidR="005930E6">
        <w:t xml:space="preserve">rette sager </w:t>
      </w:r>
      <w:r w:rsidR="00942637">
        <w:t>eller</w:t>
      </w:r>
      <w:r w:rsidR="005930E6">
        <w:t xml:space="preserve"> mistanke om korruptio</w:t>
      </w:r>
      <w:r w:rsidR="005A3F6B">
        <w:t>n til donor</w:t>
      </w:r>
      <w:r w:rsidR="00942637">
        <w:t>er</w:t>
      </w:r>
      <w:r w:rsidR="005A3F6B">
        <w:t>, herunder det danske Udenrigsministerium.</w:t>
      </w:r>
    </w:p>
    <w:p w14:paraId="448CBF27" w14:textId="6B79C034" w:rsidR="005A3F6B" w:rsidRDefault="001B1947" w:rsidP="005A3F6B">
      <w:pPr>
        <w:spacing w:after="0"/>
      </w:pPr>
      <w:r>
        <w:br/>
      </w:r>
    </w:p>
    <w:p w14:paraId="38CF8014" w14:textId="77777777" w:rsidR="00203F1F" w:rsidRDefault="00203F1F">
      <w:r>
        <w:br w:type="page"/>
      </w:r>
    </w:p>
    <w:p w14:paraId="357BDA7D" w14:textId="77777777" w:rsidR="005A3F6B" w:rsidRDefault="005A3F6B" w:rsidP="005A3F6B">
      <w:pPr>
        <w:spacing w:after="0"/>
      </w:pPr>
    </w:p>
    <w:p w14:paraId="778A3244" w14:textId="5B5D557E" w:rsidR="005A3F6B" w:rsidRPr="00755BA2" w:rsidRDefault="005A3F6B" w:rsidP="005A3F6B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 w:rsidRPr="00755BA2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 xml:space="preserve">Forebyggelse </w:t>
      </w:r>
      <w:r w:rsidR="005A4610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og beskyttelse mod</w:t>
      </w:r>
      <w:r w:rsidRPr="00755BA2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 xml:space="preserve"> seksuel</w:t>
      </w:r>
      <w:r w:rsidR="00A31212" w:rsidRPr="00755BA2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 xml:space="preserve"> chikane, udnyttelse og overgreb</w:t>
      </w:r>
      <w:r w:rsidR="00585854">
        <w:rPr>
          <w:rStyle w:val="Fodnotehenvisning"/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footnoteReference w:id="3"/>
      </w:r>
    </w:p>
    <w:p w14:paraId="1055F401" w14:textId="788E94F5" w:rsidR="005A3F6B" w:rsidRDefault="006B7584" w:rsidP="00755BA2">
      <w:pPr>
        <w:pStyle w:val="Listeafsnit"/>
        <w:numPr>
          <w:ilvl w:val="0"/>
          <w:numId w:val="6"/>
        </w:numPr>
        <w:spacing w:after="0"/>
      </w:pPr>
      <w:r>
        <w:t>[</w:t>
      </w:r>
      <w:r w:rsidRPr="00942637">
        <w:rPr>
          <w:color w:val="FF0000"/>
        </w:rPr>
        <w:t>Organisationsnavn</w:t>
      </w:r>
      <w:r>
        <w:t>] har nultolerance over for seksuel chikane, udnyttelse og overgreb</w:t>
      </w:r>
      <w:r w:rsidR="00103CFD">
        <w:t xml:space="preserve">, og derfor arbejder </w:t>
      </w:r>
      <w:r w:rsidR="00942637">
        <w:t>vi</w:t>
      </w:r>
      <w:r w:rsidR="00103CFD">
        <w:t xml:space="preserve"> aktivt for at beskytte mennesker mod seksuel</w:t>
      </w:r>
      <w:r w:rsidR="00304806">
        <w:t xml:space="preserve"> chikane, udnyttelse og overgreb</w:t>
      </w:r>
      <w:r w:rsidR="00307D83">
        <w:t xml:space="preserve"> forårsaget af medarbejdere, tilknyttet personale og frivillige.</w:t>
      </w:r>
    </w:p>
    <w:p w14:paraId="53491EB9" w14:textId="431411EE" w:rsidR="00456107" w:rsidRDefault="002E7C42" w:rsidP="00755BA2">
      <w:pPr>
        <w:pStyle w:val="Listeafsnit"/>
        <w:numPr>
          <w:ilvl w:val="0"/>
          <w:numId w:val="6"/>
        </w:numPr>
        <w:spacing w:after="0"/>
      </w:pPr>
      <w:r>
        <w:t>[</w:t>
      </w:r>
      <w:r w:rsidRPr="00C971E1">
        <w:rPr>
          <w:color w:val="FF0000"/>
        </w:rPr>
        <w:t>Organisationsnavn</w:t>
      </w:r>
      <w:r>
        <w:t xml:space="preserve">] sikrer, at der er mulighed for at klage, </w:t>
      </w:r>
      <w:r w:rsidR="00C15EFB">
        <w:t>hvis</w:t>
      </w:r>
      <w:r>
        <w:t xml:space="preserve"> sager om seksuel chikane, udnyttelse og overgreb</w:t>
      </w:r>
      <w:r w:rsidR="00682122">
        <w:t xml:space="preserve"> finder sted.</w:t>
      </w:r>
    </w:p>
    <w:p w14:paraId="0CEB89E4" w14:textId="0DB4ED97" w:rsidR="0053711C" w:rsidRDefault="00C15EFB" w:rsidP="00C15EFB">
      <w:pPr>
        <w:pStyle w:val="Listeafsnit"/>
        <w:numPr>
          <w:ilvl w:val="0"/>
          <w:numId w:val="6"/>
        </w:numPr>
        <w:spacing w:after="0"/>
      </w:pPr>
      <w:r>
        <w:t>[</w:t>
      </w:r>
      <w:r w:rsidRPr="00C971E1">
        <w:rPr>
          <w:color w:val="FF0000"/>
        </w:rPr>
        <w:t>Organisationsnavn</w:t>
      </w:r>
      <w:r>
        <w:t xml:space="preserve">] </w:t>
      </w:r>
      <w:r w:rsidR="00683896">
        <w:t xml:space="preserve">sørger for, at klager bliver undersøgt og behandlet </w:t>
      </w:r>
      <w:r w:rsidR="00B05A3F">
        <w:t xml:space="preserve">på en anonym, troværdig, sikker og transparent måde. </w:t>
      </w:r>
      <w:r w:rsidR="000D7573">
        <w:t>Klageafgørelsen kan medføre</w:t>
      </w:r>
      <w:r w:rsidR="00682B04">
        <w:t xml:space="preserve"> disciplinære og/eller juridiske konsekvenser</w:t>
      </w:r>
      <w:r w:rsidR="00676484">
        <w:t>.</w:t>
      </w:r>
    </w:p>
    <w:p w14:paraId="698F34E1" w14:textId="0958DFF3" w:rsidR="00450BB6" w:rsidRDefault="001B1947" w:rsidP="00450BB6">
      <w:pPr>
        <w:spacing w:after="0"/>
      </w:pPr>
      <w:r>
        <w:br/>
      </w:r>
    </w:p>
    <w:p w14:paraId="6C28CB48" w14:textId="77777777" w:rsidR="00682B04" w:rsidRPr="00682B04" w:rsidRDefault="00450BB6" w:rsidP="00682B04">
      <w:pPr>
        <w:spacing w:after="0"/>
      </w:pPr>
      <w:r w:rsidRPr="00682B04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Anti-børnearbejde</w:t>
      </w:r>
      <w:r>
        <w:rPr>
          <w:rStyle w:val="Fodnotehenvisning"/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footnoteReference w:id="4"/>
      </w:r>
    </w:p>
    <w:p w14:paraId="18140290" w14:textId="3D5E3589" w:rsidR="00D74C5B" w:rsidRDefault="00450BB6" w:rsidP="00D74C5B">
      <w:pPr>
        <w:pStyle w:val="Listeafsnit"/>
        <w:numPr>
          <w:ilvl w:val="0"/>
          <w:numId w:val="6"/>
        </w:numPr>
        <w:spacing w:after="0"/>
      </w:pPr>
      <w:r>
        <w:t>[</w:t>
      </w:r>
      <w:r w:rsidRPr="000D7573">
        <w:rPr>
          <w:color w:val="FF0000"/>
        </w:rPr>
        <w:t>Organisationsnavn</w:t>
      </w:r>
      <w:r>
        <w:t xml:space="preserve">] </w:t>
      </w:r>
      <w:r w:rsidR="00682B04">
        <w:t xml:space="preserve">lever op til national såvel som </w:t>
      </w:r>
      <w:r w:rsidR="00BC0901">
        <w:t>international lovgivning, der beskytter børn</w:t>
      </w:r>
      <w:r w:rsidR="000A7217">
        <w:t>,</w:t>
      </w:r>
      <w:r w:rsidR="00BC0901">
        <w:t xml:space="preserve"> herunder </w:t>
      </w:r>
      <w:proofErr w:type="spellStart"/>
      <w:proofErr w:type="gramStart"/>
      <w:r w:rsidR="00C43673">
        <w:t>FNs</w:t>
      </w:r>
      <w:proofErr w:type="spellEnd"/>
      <w:proofErr w:type="gramEnd"/>
      <w:r w:rsidR="00C43673">
        <w:t xml:space="preserve"> </w:t>
      </w:r>
      <w:r w:rsidR="00D74C5B">
        <w:t xml:space="preserve">Børnekonvention og </w:t>
      </w:r>
      <w:proofErr w:type="spellStart"/>
      <w:r w:rsidR="00D74C5B">
        <w:t>ILOs</w:t>
      </w:r>
      <w:proofErr w:type="spellEnd"/>
      <w:r w:rsidR="00D74C5B">
        <w:t xml:space="preserve"> konventioner.</w:t>
      </w:r>
    </w:p>
    <w:p w14:paraId="0DCED367" w14:textId="4B8D8728" w:rsidR="00450BB6" w:rsidRDefault="0094327E" w:rsidP="000A7217">
      <w:pPr>
        <w:pStyle w:val="Listeafsnit"/>
        <w:numPr>
          <w:ilvl w:val="0"/>
          <w:numId w:val="6"/>
        </w:numPr>
        <w:spacing w:after="0"/>
      </w:pPr>
      <w:r>
        <w:t xml:space="preserve">Enhver form for overskridelse </w:t>
      </w:r>
      <w:r w:rsidR="000A7217">
        <w:t xml:space="preserve">kan </w:t>
      </w:r>
      <w:r>
        <w:t xml:space="preserve">medføre </w:t>
      </w:r>
      <w:r w:rsidR="000A7217">
        <w:t>kan medføre disciplinære og/eller juridiske konsekvenser.</w:t>
      </w:r>
    </w:p>
    <w:p w14:paraId="1344FF34" w14:textId="77777777" w:rsidR="00755BA2" w:rsidRDefault="00755BA2" w:rsidP="00755BA2">
      <w:pPr>
        <w:spacing w:after="0"/>
      </w:pPr>
    </w:p>
    <w:p w14:paraId="332D3651" w14:textId="77777777" w:rsidR="00A36C24" w:rsidRPr="00A36C24" w:rsidRDefault="0017655D" w:rsidP="00A36C24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 w:rsidRPr="00A36C24"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Anti-terror</w:t>
      </w:r>
      <w:r>
        <w:rPr>
          <w:rStyle w:val="Fodnotehenvisning"/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footnoteReference w:id="5"/>
      </w:r>
    </w:p>
    <w:p w14:paraId="22CFCC55" w14:textId="3883BDEC" w:rsidR="00865242" w:rsidRDefault="00865242" w:rsidP="00A36C24">
      <w:pPr>
        <w:pStyle w:val="Listeafsnit"/>
        <w:numPr>
          <w:ilvl w:val="0"/>
          <w:numId w:val="10"/>
        </w:numPr>
        <w:spacing w:after="0"/>
      </w:pPr>
      <w:r>
        <w:t>[</w:t>
      </w:r>
      <w:r w:rsidRPr="000A7217">
        <w:rPr>
          <w:color w:val="FF0000"/>
        </w:rPr>
        <w:t>Organisationsnavn</w:t>
      </w:r>
      <w:r>
        <w:t xml:space="preserve">] samarbejder ikke med aktører eller organisationer, der står på FN’s og EU’s </w:t>
      </w:r>
      <w:proofErr w:type="spellStart"/>
      <w:r>
        <w:t>terrorlister</w:t>
      </w:r>
      <w:proofErr w:type="spellEnd"/>
      <w:r>
        <w:t xml:space="preserve">. </w:t>
      </w:r>
      <w:r w:rsidR="002644A4">
        <w:t xml:space="preserve">I forbindelse med implementering af projekter, screener </w:t>
      </w:r>
      <w:r w:rsidR="0017655D">
        <w:t>[</w:t>
      </w:r>
      <w:r w:rsidR="002644A4" w:rsidRPr="000A7217">
        <w:rPr>
          <w:color w:val="FF0000"/>
        </w:rPr>
        <w:t>o</w:t>
      </w:r>
      <w:r w:rsidR="0017655D" w:rsidRPr="000A7217">
        <w:rPr>
          <w:color w:val="FF0000"/>
        </w:rPr>
        <w:t>rganisationsnavn</w:t>
      </w:r>
      <w:r w:rsidR="0017655D">
        <w:t xml:space="preserve">] </w:t>
      </w:r>
      <w:r w:rsidR="00A36C24">
        <w:t xml:space="preserve">partnere og andre </w:t>
      </w:r>
      <w:r w:rsidR="004C6597">
        <w:t xml:space="preserve">tilknyttede samarbejdspartnere </w:t>
      </w:r>
      <w:r w:rsidR="0095080C">
        <w:t>på</w:t>
      </w:r>
      <w:r>
        <w:t xml:space="preserve"> de to </w:t>
      </w:r>
      <w:proofErr w:type="spellStart"/>
      <w:r>
        <w:t>terrorlister</w:t>
      </w:r>
      <w:proofErr w:type="spellEnd"/>
      <w:r>
        <w:t>.</w:t>
      </w:r>
    </w:p>
    <w:p w14:paraId="470A3CBE" w14:textId="15C7FE48" w:rsidR="00161524" w:rsidRDefault="00393CDD" w:rsidP="00A36C24">
      <w:pPr>
        <w:pStyle w:val="Listeafsnit"/>
        <w:numPr>
          <w:ilvl w:val="0"/>
          <w:numId w:val="10"/>
        </w:numPr>
        <w:spacing w:after="0"/>
      </w:pPr>
      <w:r>
        <w:t>I</w:t>
      </w:r>
      <w:r w:rsidR="00161524">
        <w:t xml:space="preserve"> tilfælde af situationer, hvor [</w:t>
      </w:r>
      <w:r w:rsidR="00161524" w:rsidRPr="0095080C">
        <w:rPr>
          <w:color w:val="FF0000"/>
        </w:rPr>
        <w:t>organisationsnavn</w:t>
      </w:r>
      <w:r w:rsidR="00161524">
        <w:t xml:space="preserve">] har samarbejdet med organisationer og aktører på </w:t>
      </w:r>
      <w:r w:rsidR="00865242">
        <w:t xml:space="preserve">FN’s og EU's </w:t>
      </w:r>
      <w:proofErr w:type="spellStart"/>
      <w:r w:rsidR="00865242">
        <w:t>terrorlister</w:t>
      </w:r>
      <w:proofErr w:type="spellEnd"/>
      <w:r w:rsidR="00161524">
        <w:t>, forpligter [</w:t>
      </w:r>
      <w:r w:rsidR="00161524" w:rsidRPr="0095080C">
        <w:rPr>
          <w:color w:val="FF0000"/>
        </w:rPr>
        <w:t>organisationsnavn</w:t>
      </w:r>
      <w:r w:rsidR="00161524">
        <w:t>] sig til at rapportere dette til Det Danske Udenrigsministerium</w:t>
      </w:r>
      <w:r w:rsidR="0095080C">
        <w:t>.</w:t>
      </w:r>
    </w:p>
    <w:p w14:paraId="06B75011" w14:textId="77777777" w:rsidR="00DA5847" w:rsidRDefault="00DA5847" w:rsidP="00DA5847">
      <w:pPr>
        <w:pStyle w:val="Listeafsnit"/>
        <w:numPr>
          <w:ilvl w:val="0"/>
          <w:numId w:val="10"/>
        </w:numPr>
        <w:spacing w:after="0"/>
      </w:pPr>
      <w:r>
        <w:t>Enhver form for overskridelse kan medføre kan medføre disciplinære og/eller juridiske konsekvenser.</w:t>
      </w:r>
    </w:p>
    <w:p w14:paraId="4A5572EB" w14:textId="77777777" w:rsidR="00D1358F" w:rsidRDefault="00D1358F" w:rsidP="00D1358F">
      <w:pPr>
        <w:spacing w:after="0"/>
      </w:pPr>
    </w:p>
    <w:p w14:paraId="124A71FB" w14:textId="2A068CF9" w:rsidR="00DA5847" w:rsidRPr="00DA5847" w:rsidRDefault="00DA5847" w:rsidP="00DA5847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  <w:t>Klageadgang</w:t>
      </w:r>
    </w:p>
    <w:p w14:paraId="6A8B534A" w14:textId="7336CE15" w:rsidR="00DB3800" w:rsidRDefault="00DB3800" w:rsidP="001F5326">
      <w:pPr>
        <w:pStyle w:val="Listeafsnit"/>
        <w:numPr>
          <w:ilvl w:val="0"/>
          <w:numId w:val="12"/>
        </w:numPr>
        <w:spacing w:after="0"/>
      </w:pPr>
      <w:r>
        <w:t>[</w:t>
      </w:r>
      <w:r w:rsidRPr="00DB3800">
        <w:rPr>
          <w:color w:val="FF0000"/>
        </w:rPr>
        <w:t>Organisationsnavn</w:t>
      </w:r>
      <w:r>
        <w:t>] sikrer m</w:t>
      </w:r>
      <w:r w:rsidR="001074FD">
        <w:t>ulighed for at</w:t>
      </w:r>
      <w:r>
        <w:t xml:space="preserve"> kunne</w:t>
      </w:r>
      <w:r w:rsidR="001074FD">
        <w:t xml:space="preserve"> klage </w:t>
      </w:r>
      <w:r>
        <w:t>via mail og/eller telefon.</w:t>
      </w:r>
    </w:p>
    <w:p w14:paraId="360FE377" w14:textId="77777777" w:rsidR="008C5070" w:rsidRDefault="008C5070" w:rsidP="008C5070">
      <w:pPr>
        <w:pStyle w:val="Listeafsnit"/>
        <w:numPr>
          <w:ilvl w:val="0"/>
          <w:numId w:val="12"/>
        </w:numPr>
        <w:spacing w:after="0"/>
      </w:pPr>
      <w:r>
        <w:t>[</w:t>
      </w:r>
      <w:r w:rsidRPr="00C971E1">
        <w:rPr>
          <w:color w:val="FF0000"/>
        </w:rPr>
        <w:t>Organisationsnavn</w:t>
      </w:r>
      <w:r>
        <w:t>] sørger for, at klager bliver undersøgt og behandlet på en anonym, troværdig, sikker og transparent måde. Klageafgørelsen kan medføre disciplinære og/eller juridiske konsekvenser.</w:t>
      </w:r>
    </w:p>
    <w:p w14:paraId="235232E3" w14:textId="77777777" w:rsidR="00C47D04" w:rsidRDefault="00C47D04" w:rsidP="00D1358F">
      <w:pPr>
        <w:spacing w:after="0"/>
      </w:pPr>
    </w:p>
    <w:p w14:paraId="0796CC2C" w14:textId="77777777" w:rsidR="00075431" w:rsidRDefault="00075431" w:rsidP="00D1358F">
      <w:pPr>
        <w:spacing w:after="0"/>
      </w:pPr>
    </w:p>
    <w:p w14:paraId="26B1DF17" w14:textId="77777777" w:rsidR="00C47D04" w:rsidRDefault="00C47D04" w:rsidP="00D1358F">
      <w:pPr>
        <w:spacing w:after="0"/>
      </w:pPr>
    </w:p>
    <w:p w14:paraId="661628FB" w14:textId="03F0417B" w:rsidR="00C47D04" w:rsidRDefault="00C47D04" w:rsidP="00D1358F">
      <w:pPr>
        <w:spacing w:after="0"/>
      </w:pPr>
      <w:r>
        <w:t>_________________________</w:t>
      </w:r>
      <w:r>
        <w:tab/>
      </w:r>
      <w:r>
        <w:tab/>
      </w:r>
      <w:r>
        <w:tab/>
        <w:t>____________________________</w:t>
      </w:r>
    </w:p>
    <w:p w14:paraId="1C1FD733" w14:textId="05DCFAF4" w:rsidR="00C47D04" w:rsidRDefault="00C47D04" w:rsidP="00C47D04">
      <w:pPr>
        <w:spacing w:after="0"/>
      </w:pPr>
      <w:r>
        <w:t>Underskrift</w:t>
      </w:r>
      <w:r>
        <w:tab/>
      </w:r>
      <w:r>
        <w:tab/>
      </w:r>
      <w:r>
        <w:tab/>
      </w:r>
      <w:r>
        <w:tab/>
      </w:r>
      <w:r>
        <w:tab/>
      </w:r>
      <w:r>
        <w:tab/>
        <w:t>Dato</w:t>
      </w:r>
    </w:p>
    <w:p w14:paraId="5D039469" w14:textId="6EE9B42A" w:rsidR="00164D9A" w:rsidRPr="00164D9A" w:rsidRDefault="00164D9A" w:rsidP="00C47D04">
      <w:pPr>
        <w:spacing w:after="0"/>
        <w:rPr>
          <w:color w:val="FF0000"/>
          <w:sz w:val="20"/>
          <w:szCs w:val="20"/>
        </w:rPr>
      </w:pPr>
      <w:r w:rsidRPr="00164D9A">
        <w:rPr>
          <w:color w:val="FF0000"/>
          <w:sz w:val="20"/>
          <w:szCs w:val="20"/>
        </w:rPr>
        <w:t>[navn og titel]</w:t>
      </w:r>
    </w:p>
    <w:p w14:paraId="277313DB" w14:textId="59322F95" w:rsidR="003902D1" w:rsidRPr="003902D1" w:rsidRDefault="003902D1" w:rsidP="00D1358F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kern w:val="0"/>
          <w:sz w:val="16"/>
          <w:szCs w:val="16"/>
          <w:lang w:eastAsia="da-DK"/>
          <w14:ligatures w14:val="none"/>
        </w:rPr>
      </w:pPr>
      <w:r w:rsidRPr="003902D1">
        <w:rPr>
          <w:rFonts w:ascii="Arial" w:eastAsia="Times New Roman" w:hAnsi="Arial" w:cs="Arial"/>
          <w:vanish/>
          <w:kern w:val="0"/>
          <w:sz w:val="16"/>
          <w:szCs w:val="16"/>
          <w:lang w:eastAsia="da-DK"/>
          <w14:ligatures w14:val="none"/>
        </w:rPr>
        <w:t>Øverst på formularen</w:t>
      </w:r>
    </w:p>
    <w:p w14:paraId="57B8CBBA" w14:textId="77777777" w:rsidR="003902D1" w:rsidRPr="00DD7240" w:rsidRDefault="003902D1" w:rsidP="00DD7240"/>
    <w:sectPr w:rsidR="003902D1" w:rsidRPr="00DD7240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9B227" w14:textId="77777777" w:rsidR="00A73C28" w:rsidRDefault="00A73C28" w:rsidP="00DD7240">
      <w:pPr>
        <w:spacing w:after="0" w:line="240" w:lineRule="auto"/>
      </w:pPr>
      <w:r>
        <w:separator/>
      </w:r>
    </w:p>
  </w:endnote>
  <w:endnote w:type="continuationSeparator" w:id="0">
    <w:p w14:paraId="65968642" w14:textId="77777777" w:rsidR="00A73C28" w:rsidRDefault="00A73C28" w:rsidP="00DD7240">
      <w:pPr>
        <w:spacing w:after="0" w:line="240" w:lineRule="auto"/>
      </w:pPr>
      <w:r>
        <w:continuationSeparator/>
      </w:r>
    </w:p>
  </w:endnote>
  <w:endnote w:type="continuationNotice" w:id="1">
    <w:p w14:paraId="33C49E21" w14:textId="77777777" w:rsidR="00A73C28" w:rsidRDefault="00A73C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CD05B" w14:textId="77777777" w:rsidR="00A73C28" w:rsidRDefault="00A73C28" w:rsidP="00DD7240">
      <w:pPr>
        <w:spacing w:after="0" w:line="240" w:lineRule="auto"/>
      </w:pPr>
      <w:r>
        <w:separator/>
      </w:r>
    </w:p>
  </w:footnote>
  <w:footnote w:type="continuationSeparator" w:id="0">
    <w:p w14:paraId="3AE9A51D" w14:textId="77777777" w:rsidR="00A73C28" w:rsidRDefault="00A73C28" w:rsidP="00DD7240">
      <w:pPr>
        <w:spacing w:after="0" w:line="240" w:lineRule="auto"/>
      </w:pPr>
      <w:r>
        <w:continuationSeparator/>
      </w:r>
    </w:p>
  </w:footnote>
  <w:footnote w:type="continuationNotice" w:id="1">
    <w:p w14:paraId="595A67ED" w14:textId="77777777" w:rsidR="00A73C28" w:rsidRDefault="00A73C28">
      <w:pPr>
        <w:spacing w:after="0" w:line="240" w:lineRule="auto"/>
      </w:pPr>
    </w:p>
  </w:footnote>
  <w:footnote w:id="2">
    <w:p w14:paraId="19FF5C15" w14:textId="67AA5C0B" w:rsidR="001943EE" w:rsidRPr="00203F1F" w:rsidRDefault="001943EE">
      <w:pPr>
        <w:pStyle w:val="Fodnotetekst"/>
      </w:pPr>
      <w:r>
        <w:rPr>
          <w:rStyle w:val="Fodnotehenvisning"/>
        </w:rPr>
        <w:footnoteRef/>
      </w:r>
      <w:r w:rsidRPr="00203F1F">
        <w:t xml:space="preserve"> </w:t>
      </w:r>
      <w:r w:rsidR="007A495B" w:rsidRPr="00203F1F">
        <w:t>[</w:t>
      </w:r>
      <w:r w:rsidR="007A495B" w:rsidRPr="00203F1F">
        <w:rPr>
          <w:color w:val="FF0000"/>
        </w:rPr>
        <w:t>Organisationsnavn</w:t>
      </w:r>
      <w:r w:rsidR="007A495B" w:rsidRPr="00203F1F">
        <w:t>] lever op til Udenrigsministeri</w:t>
      </w:r>
      <w:r w:rsidR="00C757E2" w:rsidRPr="00203F1F">
        <w:t>et</w:t>
      </w:r>
      <w:r w:rsidR="007A495B" w:rsidRPr="00203F1F">
        <w:t xml:space="preserve">s </w:t>
      </w:r>
      <w:proofErr w:type="spellStart"/>
      <w:r w:rsidR="007A495B" w:rsidRPr="00203F1F">
        <w:t>anti</w:t>
      </w:r>
      <w:proofErr w:type="spellEnd"/>
      <w:r w:rsidR="00585854" w:rsidRPr="00203F1F">
        <w:t>-</w:t>
      </w:r>
      <w:r w:rsidR="007A495B" w:rsidRPr="00203F1F">
        <w:t>korruptionsklausul</w:t>
      </w:r>
      <w:r w:rsidR="00203F1F">
        <w:t xml:space="preserve"> i </w:t>
      </w:r>
      <w:proofErr w:type="spellStart"/>
      <w:r w:rsidR="00203F1F">
        <w:t>hht</w:t>
      </w:r>
      <w:proofErr w:type="spellEnd"/>
      <w:r w:rsidR="00203F1F">
        <w:t xml:space="preserve">. </w:t>
      </w:r>
      <w:hyperlink r:id="rId1" w:history="1">
        <w:r w:rsidR="00203F1F" w:rsidRPr="00203F1F">
          <w:rPr>
            <w:rStyle w:val="Hyperlink"/>
          </w:rPr>
          <w:t>retningslinjerne</w:t>
        </w:r>
      </w:hyperlink>
      <w:r w:rsidR="00203F1F">
        <w:t xml:space="preserve">. </w:t>
      </w:r>
    </w:p>
  </w:footnote>
  <w:footnote w:id="3">
    <w:p w14:paraId="1D9D7EE3" w14:textId="648CC1DA" w:rsidR="00585854" w:rsidRPr="00203F1F" w:rsidRDefault="00585854">
      <w:pPr>
        <w:pStyle w:val="Fodnotetekst"/>
      </w:pPr>
      <w:r>
        <w:rPr>
          <w:rStyle w:val="Fodnotehenvisning"/>
        </w:rPr>
        <w:footnoteRef/>
      </w:r>
      <w:r w:rsidRPr="00203F1F">
        <w:t xml:space="preserve"> [</w:t>
      </w:r>
      <w:r w:rsidRPr="00203F1F">
        <w:rPr>
          <w:color w:val="FF0000"/>
        </w:rPr>
        <w:t>Organisationsnavn</w:t>
      </w:r>
      <w:r w:rsidRPr="00203F1F">
        <w:t>] lever op til Udenrigsministeriets PSHEA-klausul</w:t>
      </w:r>
      <w:r w:rsidR="00203F1F">
        <w:t xml:space="preserve"> i hht. </w:t>
      </w:r>
      <w:hyperlink r:id="rId2" w:history="1">
        <w:r w:rsidR="00203F1F" w:rsidRPr="00203F1F">
          <w:rPr>
            <w:rStyle w:val="Hyperlink"/>
          </w:rPr>
          <w:t>retningslinjerne</w:t>
        </w:r>
      </w:hyperlink>
      <w:r w:rsidR="00203F1F">
        <w:t>.</w:t>
      </w:r>
    </w:p>
  </w:footnote>
  <w:footnote w:id="4">
    <w:p w14:paraId="7FC278E9" w14:textId="6744666F" w:rsidR="00450BB6" w:rsidRPr="00203F1F" w:rsidRDefault="00450BB6">
      <w:pPr>
        <w:pStyle w:val="Fodnotetekst"/>
      </w:pPr>
      <w:r>
        <w:rPr>
          <w:rStyle w:val="Fodnotehenvisning"/>
        </w:rPr>
        <w:footnoteRef/>
      </w:r>
      <w:r w:rsidRPr="00203F1F">
        <w:t xml:space="preserve"> [</w:t>
      </w:r>
      <w:r w:rsidRPr="00203F1F">
        <w:rPr>
          <w:color w:val="FF0000"/>
        </w:rPr>
        <w:t>Organisationsnavn</w:t>
      </w:r>
      <w:r w:rsidRPr="00203F1F">
        <w:t xml:space="preserve">] lever op til Udenrigsministeriets </w:t>
      </w:r>
      <w:proofErr w:type="spellStart"/>
      <w:r w:rsidRPr="00203F1F">
        <w:t>anti-børnearbejd</w:t>
      </w:r>
      <w:r w:rsidR="0017655D" w:rsidRPr="00203F1F">
        <w:t>eklausul</w:t>
      </w:r>
      <w:proofErr w:type="spellEnd"/>
      <w:r w:rsidR="00203F1F">
        <w:t xml:space="preserve"> i </w:t>
      </w:r>
      <w:proofErr w:type="spellStart"/>
      <w:r w:rsidR="00203F1F">
        <w:t>hht</w:t>
      </w:r>
      <w:proofErr w:type="spellEnd"/>
      <w:r w:rsidR="00203F1F">
        <w:t xml:space="preserve">. </w:t>
      </w:r>
      <w:hyperlink r:id="rId3" w:history="1">
        <w:r w:rsidR="00203F1F" w:rsidRPr="00203F1F">
          <w:rPr>
            <w:rStyle w:val="Hyperlink"/>
          </w:rPr>
          <w:t>retningslinjerne</w:t>
        </w:r>
      </w:hyperlink>
      <w:r w:rsidR="00203F1F">
        <w:t>.</w:t>
      </w:r>
    </w:p>
  </w:footnote>
  <w:footnote w:id="5">
    <w:p w14:paraId="3C3DE010" w14:textId="246A200E" w:rsidR="0017655D" w:rsidRPr="00203F1F" w:rsidRDefault="0017655D" w:rsidP="0017655D">
      <w:pPr>
        <w:pStyle w:val="Fodnotetekst"/>
      </w:pPr>
      <w:r>
        <w:rPr>
          <w:rStyle w:val="Fodnotehenvisning"/>
        </w:rPr>
        <w:footnoteRef/>
      </w:r>
      <w:r w:rsidRPr="00203F1F">
        <w:t xml:space="preserve"> [</w:t>
      </w:r>
      <w:r w:rsidRPr="00203F1F">
        <w:rPr>
          <w:color w:val="FF0000"/>
        </w:rPr>
        <w:t>Organisationsnavn</w:t>
      </w:r>
      <w:r w:rsidRPr="00203F1F">
        <w:t>] lever op til Udenrigsministeriets anti-terror-klausul</w:t>
      </w:r>
      <w:r w:rsidR="00203F1F" w:rsidRPr="00203F1F">
        <w:t xml:space="preserve"> </w:t>
      </w:r>
      <w:r w:rsidR="00203F1F">
        <w:t xml:space="preserve">i hht. </w:t>
      </w:r>
      <w:hyperlink r:id="rId4" w:history="1">
        <w:r w:rsidR="00203F1F" w:rsidRPr="00203F1F">
          <w:rPr>
            <w:rStyle w:val="Hyperlink"/>
          </w:rPr>
          <w:t>retningslinjerne</w:t>
        </w:r>
      </w:hyperlink>
      <w:r w:rsidR="00203F1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33FC1" w14:textId="20F60936" w:rsidR="00DD7240" w:rsidRDefault="003D5369" w:rsidP="003D5369">
    <w:pPr>
      <w:pStyle w:val="Sidehoved"/>
      <w:jc w:val="center"/>
    </w:pPr>
    <w:r>
      <w:t xml:space="preserve">Adfærdskodeks – skabelon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4C7D"/>
    <w:multiLevelType w:val="hybridMultilevel"/>
    <w:tmpl w:val="16C00D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0C21"/>
    <w:multiLevelType w:val="hybridMultilevel"/>
    <w:tmpl w:val="E3DC1E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932BB"/>
    <w:multiLevelType w:val="hybridMultilevel"/>
    <w:tmpl w:val="D436AD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56CD0"/>
    <w:multiLevelType w:val="multilevel"/>
    <w:tmpl w:val="4B1C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463E30"/>
    <w:multiLevelType w:val="hybridMultilevel"/>
    <w:tmpl w:val="169A64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67724"/>
    <w:multiLevelType w:val="hybridMultilevel"/>
    <w:tmpl w:val="D494E4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D6941"/>
    <w:multiLevelType w:val="hybridMultilevel"/>
    <w:tmpl w:val="742E8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C0955"/>
    <w:multiLevelType w:val="hybridMultilevel"/>
    <w:tmpl w:val="88D24F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43E5D"/>
    <w:multiLevelType w:val="hybridMultilevel"/>
    <w:tmpl w:val="5FA013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B26D9"/>
    <w:multiLevelType w:val="multilevel"/>
    <w:tmpl w:val="299A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7F3664"/>
    <w:multiLevelType w:val="multilevel"/>
    <w:tmpl w:val="B3E2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DD01F8"/>
    <w:multiLevelType w:val="hybridMultilevel"/>
    <w:tmpl w:val="674C2F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66502">
    <w:abstractNumId w:val="9"/>
  </w:num>
  <w:num w:numId="2" w16cid:durableId="884948891">
    <w:abstractNumId w:val="10"/>
  </w:num>
  <w:num w:numId="3" w16cid:durableId="1320770644">
    <w:abstractNumId w:val="3"/>
  </w:num>
  <w:num w:numId="4" w16cid:durableId="319425420">
    <w:abstractNumId w:val="2"/>
  </w:num>
  <w:num w:numId="5" w16cid:durableId="1191143452">
    <w:abstractNumId w:val="4"/>
  </w:num>
  <w:num w:numId="6" w16cid:durableId="2101371540">
    <w:abstractNumId w:val="0"/>
  </w:num>
  <w:num w:numId="7" w16cid:durableId="480854889">
    <w:abstractNumId w:val="7"/>
  </w:num>
  <w:num w:numId="8" w16cid:durableId="653217978">
    <w:abstractNumId w:val="6"/>
  </w:num>
  <w:num w:numId="9" w16cid:durableId="1380322981">
    <w:abstractNumId w:val="11"/>
  </w:num>
  <w:num w:numId="10" w16cid:durableId="608777914">
    <w:abstractNumId w:val="5"/>
  </w:num>
  <w:num w:numId="11" w16cid:durableId="1068185592">
    <w:abstractNumId w:val="8"/>
  </w:num>
  <w:num w:numId="12" w16cid:durableId="34698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13"/>
    <w:rsid w:val="00014D51"/>
    <w:rsid w:val="00075431"/>
    <w:rsid w:val="00082251"/>
    <w:rsid w:val="00086F40"/>
    <w:rsid w:val="00091812"/>
    <w:rsid w:val="000A7217"/>
    <w:rsid w:val="000C3C2C"/>
    <w:rsid w:val="000D7573"/>
    <w:rsid w:val="00103CFD"/>
    <w:rsid w:val="001074FD"/>
    <w:rsid w:val="00152685"/>
    <w:rsid w:val="00160AD7"/>
    <w:rsid w:val="00161524"/>
    <w:rsid w:val="00163359"/>
    <w:rsid w:val="00164BAC"/>
    <w:rsid w:val="00164D9A"/>
    <w:rsid w:val="0017655D"/>
    <w:rsid w:val="001943EE"/>
    <w:rsid w:val="001B1947"/>
    <w:rsid w:val="001C36F4"/>
    <w:rsid w:val="001D40A3"/>
    <w:rsid w:val="00203F1F"/>
    <w:rsid w:val="002275B3"/>
    <w:rsid w:val="002644A4"/>
    <w:rsid w:val="00284FEE"/>
    <w:rsid w:val="00291DF4"/>
    <w:rsid w:val="002D1DC3"/>
    <w:rsid w:val="002E7C42"/>
    <w:rsid w:val="00304806"/>
    <w:rsid w:val="00307D83"/>
    <w:rsid w:val="0033348D"/>
    <w:rsid w:val="003902D1"/>
    <w:rsid w:val="00393CDD"/>
    <w:rsid w:val="003D5369"/>
    <w:rsid w:val="003E104C"/>
    <w:rsid w:val="00441F63"/>
    <w:rsid w:val="00450BB6"/>
    <w:rsid w:val="00456107"/>
    <w:rsid w:val="004C6597"/>
    <w:rsid w:val="004C7E2A"/>
    <w:rsid w:val="004D2B36"/>
    <w:rsid w:val="0052527A"/>
    <w:rsid w:val="00535F13"/>
    <w:rsid w:val="0053711C"/>
    <w:rsid w:val="005406EB"/>
    <w:rsid w:val="00577BD3"/>
    <w:rsid w:val="00585854"/>
    <w:rsid w:val="005930E6"/>
    <w:rsid w:val="005A3F6B"/>
    <w:rsid w:val="005A4610"/>
    <w:rsid w:val="005E2FEF"/>
    <w:rsid w:val="00610FED"/>
    <w:rsid w:val="0061481A"/>
    <w:rsid w:val="00632637"/>
    <w:rsid w:val="00655489"/>
    <w:rsid w:val="00676484"/>
    <w:rsid w:val="00682122"/>
    <w:rsid w:val="00682B04"/>
    <w:rsid w:val="00683896"/>
    <w:rsid w:val="00695643"/>
    <w:rsid w:val="0069595E"/>
    <w:rsid w:val="006B0710"/>
    <w:rsid w:val="006B7584"/>
    <w:rsid w:val="0071217E"/>
    <w:rsid w:val="00733291"/>
    <w:rsid w:val="00755BA2"/>
    <w:rsid w:val="00797AF9"/>
    <w:rsid w:val="007A495B"/>
    <w:rsid w:val="007E1088"/>
    <w:rsid w:val="007E4974"/>
    <w:rsid w:val="008570EC"/>
    <w:rsid w:val="00865242"/>
    <w:rsid w:val="00882257"/>
    <w:rsid w:val="008A4AB4"/>
    <w:rsid w:val="008B7236"/>
    <w:rsid w:val="008C5070"/>
    <w:rsid w:val="009038EA"/>
    <w:rsid w:val="00927302"/>
    <w:rsid w:val="00942637"/>
    <w:rsid w:val="0094327E"/>
    <w:rsid w:val="0095080C"/>
    <w:rsid w:val="00960963"/>
    <w:rsid w:val="0097087A"/>
    <w:rsid w:val="009C354B"/>
    <w:rsid w:val="009C3D84"/>
    <w:rsid w:val="009E37B5"/>
    <w:rsid w:val="009F7438"/>
    <w:rsid w:val="00A150E1"/>
    <w:rsid w:val="00A31212"/>
    <w:rsid w:val="00A36C24"/>
    <w:rsid w:val="00A519F5"/>
    <w:rsid w:val="00A5662D"/>
    <w:rsid w:val="00A56645"/>
    <w:rsid w:val="00A67241"/>
    <w:rsid w:val="00A73C28"/>
    <w:rsid w:val="00A74039"/>
    <w:rsid w:val="00A77C18"/>
    <w:rsid w:val="00AC4C1E"/>
    <w:rsid w:val="00AE5E8B"/>
    <w:rsid w:val="00B04D55"/>
    <w:rsid w:val="00B05A3F"/>
    <w:rsid w:val="00B167DD"/>
    <w:rsid w:val="00B569C3"/>
    <w:rsid w:val="00B76162"/>
    <w:rsid w:val="00BC0901"/>
    <w:rsid w:val="00BC255F"/>
    <w:rsid w:val="00C15EFB"/>
    <w:rsid w:val="00C30A34"/>
    <w:rsid w:val="00C31477"/>
    <w:rsid w:val="00C3709C"/>
    <w:rsid w:val="00C43673"/>
    <w:rsid w:val="00C47D04"/>
    <w:rsid w:val="00C757E2"/>
    <w:rsid w:val="00C971E1"/>
    <w:rsid w:val="00CB701E"/>
    <w:rsid w:val="00CD05F8"/>
    <w:rsid w:val="00CD0697"/>
    <w:rsid w:val="00D1358F"/>
    <w:rsid w:val="00D215B2"/>
    <w:rsid w:val="00D265EA"/>
    <w:rsid w:val="00D462E9"/>
    <w:rsid w:val="00D6682F"/>
    <w:rsid w:val="00D6718D"/>
    <w:rsid w:val="00D74C5B"/>
    <w:rsid w:val="00D773FA"/>
    <w:rsid w:val="00DA5847"/>
    <w:rsid w:val="00DB3800"/>
    <w:rsid w:val="00DD7240"/>
    <w:rsid w:val="00E02C2A"/>
    <w:rsid w:val="00E30263"/>
    <w:rsid w:val="00E7705A"/>
    <w:rsid w:val="00E843C2"/>
    <w:rsid w:val="00EA50E0"/>
    <w:rsid w:val="00ED78FD"/>
    <w:rsid w:val="00F6674A"/>
    <w:rsid w:val="00FB3147"/>
    <w:rsid w:val="00FB647D"/>
    <w:rsid w:val="00FD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1FB4"/>
  <w15:chartTrackingRefBased/>
  <w15:docId w15:val="{9BF4A563-2DD3-4713-8447-DA2CB6D0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35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3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DD7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D7240"/>
  </w:style>
  <w:style w:type="paragraph" w:styleId="Sidefod">
    <w:name w:val="footer"/>
    <w:basedOn w:val="Normal"/>
    <w:link w:val="SidefodTegn"/>
    <w:uiPriority w:val="99"/>
    <w:unhideWhenUsed/>
    <w:rsid w:val="00DD7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D7240"/>
  </w:style>
  <w:style w:type="paragraph" w:styleId="NormalWeb">
    <w:name w:val="Normal (Web)"/>
    <w:basedOn w:val="Normal"/>
    <w:uiPriority w:val="99"/>
    <w:semiHidden/>
    <w:unhideWhenUsed/>
    <w:rsid w:val="0039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3902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da-DK"/>
      <w14:ligatures w14:val="none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3902D1"/>
    <w:rPr>
      <w:rFonts w:ascii="Arial" w:eastAsia="Times New Roman" w:hAnsi="Arial" w:cs="Arial"/>
      <w:vanish/>
      <w:kern w:val="0"/>
      <w:sz w:val="16"/>
      <w:szCs w:val="16"/>
      <w:lang w:eastAsia="da-DK"/>
      <w14:ligatures w14:val="non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1943EE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943EE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943EE"/>
    <w:rPr>
      <w:vertAlign w:val="superscript"/>
    </w:rPr>
  </w:style>
  <w:style w:type="paragraph" w:styleId="Listeafsnit">
    <w:name w:val="List Paragraph"/>
    <w:basedOn w:val="Normal"/>
    <w:uiPriority w:val="34"/>
    <w:qFormat/>
    <w:rsid w:val="000C3C2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7087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7087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609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8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100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9834600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569617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4535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130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7148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803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6205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476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619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7478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2081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m.dk/-/media/websites/umdk/danish-site/danida/samarbejdspartnere/retningslinjer-for-forvaltning-af-tilskudsmidler-fra-udenrigsministeriet-til-puljeordninger-og-netvr.ashx" TargetMode="External"/><Relationship Id="rId2" Type="http://schemas.openxmlformats.org/officeDocument/2006/relationships/hyperlink" Target="https://um.dk/-/media/websites/umdk/danish-site/danida/samarbejdspartnere/retningslinjer-for-forvaltning-af-tilskudsmidler-fra-udenrigsministeriet-til-puljeordninger-og-netvr.ashx" TargetMode="External"/><Relationship Id="rId1" Type="http://schemas.openxmlformats.org/officeDocument/2006/relationships/hyperlink" Target="https://um.dk/-/media/websites/umdk/danish-site/danida/samarbejdspartnere/retningslinjer-for-forvaltning-af-tilskudsmidler-fra-udenrigsministeriet-til-puljeordninger-og-netvr.ashx" TargetMode="External"/><Relationship Id="rId4" Type="http://schemas.openxmlformats.org/officeDocument/2006/relationships/hyperlink" Target="https://um.dk/-/media/websites/umdk/danish-site/danida/samarbejdspartnere/retningslinjer-for-forvaltning-af-tilskudsmidler-fra-udenrigsministeriet-til-puljeordninger-og-netvr.ash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09ECD4-0863-4AC6-8F1E-E89F75143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0E722A-05F4-4801-8AF6-5B10393EF9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52BA7-2359-4E5E-BC5E-5B8CD16A56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FF508F-547C-405D-9C17-49A35B21E3A0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</Pages>
  <Words>528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Palle Petersen</dc:creator>
  <cp:keywords/>
  <dc:description/>
  <cp:lastModifiedBy>Alberte Maimburg</cp:lastModifiedBy>
  <cp:revision>106</cp:revision>
  <dcterms:created xsi:type="dcterms:W3CDTF">2023-10-31T12:31:00Z</dcterms:created>
  <dcterms:modified xsi:type="dcterms:W3CDTF">2024-10-03T13:18:00Z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MediaServiceImageTags">
    <vt:lpwstr/>
  </property>
</Properties>
</file>