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1DFCE" w14:textId="38E03BE1" w:rsidR="003B1115" w:rsidRDefault="003B1115" w:rsidP="00FB7D0D">
      <w:pPr>
        <w:spacing w:after="160" w:line="276" w:lineRule="auto"/>
        <w:rPr>
          <w:b/>
          <w:bCs/>
          <w:color w:val="1F5C4E"/>
          <w:sz w:val="40"/>
          <w:szCs w:val="40"/>
        </w:rPr>
      </w:pPr>
    </w:p>
    <w:p w14:paraId="13136E04" w14:textId="77777777" w:rsidR="003B1115" w:rsidRPr="006E129C" w:rsidRDefault="003B1115" w:rsidP="00FB7D0D">
      <w:pPr>
        <w:spacing w:after="160" w:line="276" w:lineRule="auto"/>
        <w:rPr>
          <w:b/>
          <w:bCs/>
          <w:sz w:val="22"/>
          <w:szCs w:val="22"/>
        </w:rPr>
      </w:pPr>
      <w:r w:rsidRPr="006E129C">
        <w:rPr>
          <w:b/>
          <w:bCs/>
          <w:sz w:val="22"/>
          <w:szCs w:val="22"/>
        </w:rPr>
        <w:t>Høringssvar</w:t>
      </w:r>
    </w:p>
    <w:p w14:paraId="2336E580" w14:textId="7255BDE5" w:rsidR="009A2AFF" w:rsidRDefault="00000000" w:rsidP="00E27143">
      <w:pPr>
        <w:spacing w:after="200" w:line="276" w:lineRule="auto"/>
      </w:pPr>
      <w:r>
        <w:rPr>
          <w:sz w:val="22"/>
          <w:szCs w:val="22"/>
        </w:rPr>
        <w:t>Ghana Venskab (GV) takker for muligheden for at afgive høringssvar til de foreslåede opdateringer af retningslinjerne for Civilsamfundspuljen (CS</w:t>
      </w:r>
      <w:r w:rsidR="003B1115">
        <w:rPr>
          <w:sz w:val="22"/>
          <w:szCs w:val="22"/>
        </w:rPr>
        <w:t>P</w:t>
      </w:r>
      <w:r w:rsidR="0079053F">
        <w:rPr>
          <w:sz w:val="22"/>
          <w:szCs w:val="22"/>
        </w:rPr>
        <w:t>)</w:t>
      </w:r>
      <w:r>
        <w:rPr>
          <w:sz w:val="22"/>
          <w:szCs w:val="22"/>
        </w:rPr>
        <w:t xml:space="preserve">. </w:t>
      </w:r>
    </w:p>
    <w:p w14:paraId="0E56F328" w14:textId="6D481367" w:rsidR="009A2AFF" w:rsidRPr="0079053F" w:rsidRDefault="006E129C" w:rsidP="00FB7D0D">
      <w:pPr>
        <w:spacing w:after="120" w:line="276" w:lineRule="auto"/>
        <w:rPr>
          <w:b/>
          <w:bCs/>
          <w:sz w:val="22"/>
          <w:szCs w:val="22"/>
        </w:rPr>
      </w:pPr>
      <w:r w:rsidRPr="0079053F">
        <w:rPr>
          <w:b/>
          <w:bCs/>
          <w:sz w:val="22"/>
          <w:szCs w:val="22"/>
        </w:rPr>
        <w:t>1. Ny adgangsvej til Large Programme for tidligere UM</w:t>
      </w:r>
      <w:r w:rsidR="003B1115" w:rsidRPr="0079053F">
        <w:rPr>
          <w:b/>
          <w:bCs/>
          <w:sz w:val="22"/>
          <w:szCs w:val="22"/>
        </w:rPr>
        <w:t xml:space="preserve"> SPA </w:t>
      </w:r>
      <w:r w:rsidRPr="0079053F">
        <w:rPr>
          <w:b/>
          <w:bCs/>
          <w:sz w:val="22"/>
          <w:szCs w:val="22"/>
        </w:rPr>
        <w:t>partnere</w:t>
      </w:r>
      <w:r w:rsidR="001A4367">
        <w:rPr>
          <w:b/>
          <w:bCs/>
          <w:sz w:val="22"/>
          <w:szCs w:val="22"/>
        </w:rPr>
        <w:t xml:space="preserve"> (Box 5.2)</w:t>
      </w:r>
    </w:p>
    <w:p w14:paraId="428D85A9" w14:textId="77777777" w:rsidR="005954DA" w:rsidRDefault="00000000" w:rsidP="00FB7D0D">
      <w:pPr>
        <w:spacing w:after="160" w:line="276" w:lineRule="auto"/>
      </w:pPr>
      <w:r>
        <w:rPr>
          <w:sz w:val="22"/>
          <w:szCs w:val="22"/>
        </w:rPr>
        <w:t xml:space="preserve">Det nye udkast introducerer følgende tilføjelse til Large </w:t>
      </w:r>
      <w:proofErr w:type="spellStart"/>
      <w:r>
        <w:rPr>
          <w:sz w:val="22"/>
          <w:szCs w:val="22"/>
        </w:rPr>
        <w:t>Programme's</w:t>
      </w:r>
      <w:proofErr w:type="spellEnd"/>
      <w:r>
        <w:rPr>
          <w:sz w:val="22"/>
          <w:szCs w:val="22"/>
        </w:rPr>
        <w:t xml:space="preserve"> "Max grant </w:t>
      </w:r>
      <w:proofErr w:type="spellStart"/>
      <w:r>
        <w:rPr>
          <w:sz w:val="22"/>
          <w:szCs w:val="22"/>
        </w:rPr>
        <w:t>size</w:t>
      </w:r>
      <w:proofErr w:type="spellEnd"/>
      <w:r>
        <w:rPr>
          <w:sz w:val="22"/>
          <w:szCs w:val="22"/>
        </w:rPr>
        <w:t>":</w:t>
      </w:r>
    </w:p>
    <w:p w14:paraId="79C6FE30" w14:textId="08C9D8C4" w:rsidR="009A2AFF" w:rsidRPr="005954DA" w:rsidRDefault="00000000" w:rsidP="00FB7D0D">
      <w:pPr>
        <w:spacing w:after="160" w:line="276" w:lineRule="auto"/>
        <w:rPr>
          <w:lang w:val="en-US"/>
        </w:rPr>
      </w:pPr>
      <w:r w:rsidRPr="003B1115">
        <w:rPr>
          <w:i/>
          <w:iCs/>
          <w:color w:val="444444"/>
          <w:sz w:val="21"/>
          <w:szCs w:val="21"/>
          <w:lang w:val="en-US"/>
        </w:rPr>
        <w:t>"Applicants with an agreement with the DMFA/Danida that expire or have been terminated can apply for up to DKK 60 million in total (resulting in maximum DKK 15 million per year)."</w:t>
      </w:r>
    </w:p>
    <w:p w14:paraId="62125F83" w14:textId="7C6287F6" w:rsidR="009A2AFF" w:rsidRDefault="00000000" w:rsidP="00FB7D0D">
      <w:pPr>
        <w:spacing w:after="160" w:line="276" w:lineRule="auto"/>
      </w:pPr>
      <w:r>
        <w:rPr>
          <w:sz w:val="22"/>
          <w:szCs w:val="22"/>
        </w:rPr>
        <w:t>Dette åbner en ny adgangsvej for organisationer, der hidtil har haft en strategisk partnerskabsaftale (SPA)</w:t>
      </w:r>
      <w:r w:rsidR="00D32D56">
        <w:rPr>
          <w:sz w:val="22"/>
          <w:szCs w:val="22"/>
        </w:rPr>
        <w:t xml:space="preserve"> </w:t>
      </w:r>
      <w:r>
        <w:rPr>
          <w:sz w:val="22"/>
          <w:szCs w:val="22"/>
        </w:rPr>
        <w:t xml:space="preserve">med Udenrigsministeriet/Danida. GV finder anledning til at rejse </w:t>
      </w:r>
      <w:r w:rsidR="00FB7D0D">
        <w:rPr>
          <w:sz w:val="22"/>
          <w:szCs w:val="22"/>
        </w:rPr>
        <w:t xml:space="preserve">følgende </w:t>
      </w:r>
      <w:r>
        <w:rPr>
          <w:sz w:val="22"/>
          <w:szCs w:val="22"/>
        </w:rPr>
        <w:t>spørgsmål:</w:t>
      </w:r>
    </w:p>
    <w:p w14:paraId="3B763FB8" w14:textId="03B8D358" w:rsidR="009A2AFF" w:rsidRPr="00FB7D0D" w:rsidRDefault="00000000" w:rsidP="00FB7D0D">
      <w:pPr>
        <w:spacing w:after="120" w:line="276" w:lineRule="auto"/>
        <w:rPr>
          <w:sz w:val="22"/>
          <w:szCs w:val="22"/>
        </w:rPr>
      </w:pPr>
      <w:r w:rsidRPr="00FB7D0D">
        <w:rPr>
          <w:sz w:val="22"/>
          <w:szCs w:val="22"/>
        </w:rPr>
        <w:t xml:space="preserve">Følger midlerne med fra Danida til </w:t>
      </w:r>
      <w:r w:rsidR="003B1115" w:rsidRPr="00FB7D0D">
        <w:rPr>
          <w:sz w:val="22"/>
          <w:szCs w:val="22"/>
        </w:rPr>
        <w:t>CSP</w:t>
      </w:r>
      <w:r w:rsidRPr="00FB7D0D">
        <w:rPr>
          <w:sz w:val="22"/>
          <w:szCs w:val="22"/>
        </w:rPr>
        <w:t>-puljen?</w:t>
      </w:r>
      <w:r w:rsidR="00FB7D0D">
        <w:rPr>
          <w:sz w:val="22"/>
          <w:szCs w:val="22"/>
        </w:rPr>
        <w:t xml:space="preserve"> </w:t>
      </w:r>
      <w:r>
        <w:rPr>
          <w:sz w:val="22"/>
          <w:szCs w:val="22"/>
        </w:rPr>
        <w:t>GV kom selv ind i CSP-puljen fra en rammeaftale med Danida. Ved denne overgang blev CS</w:t>
      </w:r>
      <w:r w:rsidR="005954DA">
        <w:rPr>
          <w:sz w:val="22"/>
          <w:szCs w:val="22"/>
        </w:rPr>
        <w:t>P</w:t>
      </w:r>
      <w:r>
        <w:rPr>
          <w:sz w:val="22"/>
          <w:szCs w:val="22"/>
        </w:rPr>
        <w:t>-puljen tilført et beløb fra Udenrigsministeriet svarende til det, GV (og en håndfuld andre organisationer) tidligere modtog direkte fra Danida. Dette princip sikrede, at optaget af nye, store organisationer ikke skete på bekostning af den pulje, øvrige CS</w:t>
      </w:r>
      <w:r w:rsidR="003B1115">
        <w:rPr>
          <w:sz w:val="22"/>
          <w:szCs w:val="22"/>
        </w:rPr>
        <w:t>P</w:t>
      </w:r>
      <w:r>
        <w:rPr>
          <w:sz w:val="22"/>
          <w:szCs w:val="22"/>
        </w:rPr>
        <w:t>-organisationer konkurrerer om.</w:t>
      </w:r>
    </w:p>
    <w:p w14:paraId="42773A67" w14:textId="7D8B4229" w:rsidR="009A2AFF" w:rsidRDefault="00000000" w:rsidP="00FB7D0D">
      <w:pPr>
        <w:spacing w:after="160" w:line="276" w:lineRule="auto"/>
      </w:pPr>
      <w:r>
        <w:rPr>
          <w:sz w:val="22"/>
          <w:szCs w:val="22"/>
        </w:rPr>
        <w:t xml:space="preserve">Det fremgår ikke af det nye udkast, om samme princip vil blive fulgt for organisationer, der nu kommer ind via den foreslåede overgangsregel for udløbne/opsagte Danida-aftaler. GV opfordrer til en præcisering af, at DMFA tilfører </w:t>
      </w:r>
      <w:r w:rsidR="003B1115">
        <w:rPr>
          <w:sz w:val="22"/>
          <w:szCs w:val="22"/>
        </w:rPr>
        <w:t>CSP</w:t>
      </w:r>
      <w:r>
        <w:rPr>
          <w:sz w:val="22"/>
          <w:szCs w:val="22"/>
        </w:rPr>
        <w:t xml:space="preserve">-puljen et tilsvarende beløb, så optaget af disse organisationer ikke </w:t>
      </w:r>
      <w:r w:rsidR="005954DA">
        <w:rPr>
          <w:sz w:val="22"/>
          <w:szCs w:val="22"/>
        </w:rPr>
        <w:t>presser</w:t>
      </w:r>
      <w:r>
        <w:rPr>
          <w:sz w:val="22"/>
          <w:szCs w:val="22"/>
        </w:rPr>
        <w:t xml:space="preserve"> pulje</w:t>
      </w:r>
      <w:r w:rsidR="005954DA">
        <w:rPr>
          <w:sz w:val="22"/>
          <w:szCs w:val="22"/>
        </w:rPr>
        <w:t>n til store programmer</w:t>
      </w:r>
      <w:r>
        <w:rPr>
          <w:sz w:val="22"/>
          <w:szCs w:val="22"/>
        </w:rPr>
        <w:t>.</w:t>
      </w:r>
    </w:p>
    <w:p w14:paraId="087E32D4" w14:textId="750EB6C7" w:rsidR="00FB7D0D" w:rsidRPr="00FB7D0D" w:rsidRDefault="00FB7D0D" w:rsidP="00E27143">
      <w:pPr>
        <w:spacing w:after="200" w:line="276" w:lineRule="auto"/>
        <w:rPr>
          <w:sz w:val="22"/>
          <w:szCs w:val="22"/>
        </w:rPr>
      </w:pPr>
      <w:r w:rsidRPr="00FB7D0D">
        <w:rPr>
          <w:sz w:val="22"/>
          <w:szCs w:val="22"/>
        </w:rPr>
        <w:t>GV opfordrer desuden til, at det præciseres, hvor længe tidligere SPA-organisationer omfattet af denne overgangsordning har adgang til den forhøjede bevillingsramme (op til DKK 15 mio./år), og om de fremover vil blive omfattet af det generelle loft på DKK 6,75 mio./år.</w:t>
      </w:r>
    </w:p>
    <w:p w14:paraId="391B6E7B" w14:textId="13E1FC8B" w:rsidR="009A2AFF" w:rsidRPr="0079053F" w:rsidRDefault="005954DA" w:rsidP="00FB7D0D">
      <w:pPr>
        <w:spacing w:after="120" w:line="276" w:lineRule="auto"/>
        <w:rPr>
          <w:b/>
          <w:bCs/>
          <w:sz w:val="22"/>
          <w:szCs w:val="22"/>
        </w:rPr>
      </w:pPr>
      <w:r w:rsidRPr="0079053F">
        <w:rPr>
          <w:b/>
          <w:bCs/>
          <w:sz w:val="22"/>
          <w:szCs w:val="22"/>
        </w:rPr>
        <w:t>2. Definitionen af "</w:t>
      </w:r>
      <w:proofErr w:type="spellStart"/>
      <w:r w:rsidRPr="0079053F">
        <w:rPr>
          <w:b/>
          <w:bCs/>
          <w:sz w:val="22"/>
          <w:szCs w:val="22"/>
        </w:rPr>
        <w:t>equivalent</w:t>
      </w:r>
      <w:proofErr w:type="spellEnd"/>
      <w:r w:rsidRPr="0079053F">
        <w:rPr>
          <w:b/>
          <w:bCs/>
          <w:sz w:val="22"/>
          <w:szCs w:val="22"/>
        </w:rPr>
        <w:t xml:space="preserve"> program" i </w:t>
      </w:r>
      <w:proofErr w:type="spellStart"/>
      <w:r w:rsidRPr="0079053F">
        <w:rPr>
          <w:b/>
          <w:bCs/>
          <w:sz w:val="22"/>
          <w:szCs w:val="22"/>
        </w:rPr>
        <w:t>eligibility</w:t>
      </w:r>
      <w:proofErr w:type="spellEnd"/>
      <w:r w:rsidRPr="0079053F">
        <w:rPr>
          <w:b/>
          <w:bCs/>
          <w:sz w:val="22"/>
          <w:szCs w:val="22"/>
        </w:rPr>
        <w:t>-kriteriet</w:t>
      </w:r>
      <w:r w:rsidR="001A4367">
        <w:rPr>
          <w:b/>
          <w:bCs/>
          <w:sz w:val="22"/>
          <w:szCs w:val="22"/>
        </w:rPr>
        <w:t xml:space="preserve"> (Box 5.2)</w:t>
      </w:r>
    </w:p>
    <w:p w14:paraId="72851C1F" w14:textId="77777777" w:rsidR="0079053F" w:rsidRDefault="00000000" w:rsidP="00FB7D0D">
      <w:pPr>
        <w:spacing w:after="160" w:line="276" w:lineRule="auto"/>
      </w:pPr>
      <w:proofErr w:type="spellStart"/>
      <w:r>
        <w:rPr>
          <w:sz w:val="22"/>
          <w:szCs w:val="22"/>
        </w:rPr>
        <w:t>Eligibility</w:t>
      </w:r>
      <w:proofErr w:type="spellEnd"/>
      <w:r>
        <w:rPr>
          <w:sz w:val="22"/>
          <w:szCs w:val="22"/>
        </w:rPr>
        <w:t>-kravet for Large Programme er ændret fra:</w:t>
      </w:r>
    </w:p>
    <w:p w14:paraId="3F0DB8F8" w14:textId="29FD391F" w:rsidR="009A2AFF" w:rsidRPr="0079053F" w:rsidRDefault="00000000" w:rsidP="00FB7D0D">
      <w:pPr>
        <w:spacing w:line="276" w:lineRule="auto"/>
        <w:rPr>
          <w:lang w:val="en-US"/>
        </w:rPr>
      </w:pPr>
      <w:r w:rsidRPr="003B1115">
        <w:rPr>
          <w:i/>
          <w:iCs/>
          <w:color w:val="444444"/>
          <w:sz w:val="21"/>
          <w:szCs w:val="21"/>
          <w:lang w:val="en-US"/>
        </w:rPr>
        <w:t xml:space="preserve">"Having been granted two Medium </w:t>
      </w:r>
      <w:proofErr w:type="spellStart"/>
      <w:r w:rsidRPr="003B1115">
        <w:rPr>
          <w:i/>
          <w:iCs/>
          <w:color w:val="444444"/>
          <w:sz w:val="21"/>
          <w:szCs w:val="21"/>
          <w:lang w:val="en-US"/>
        </w:rPr>
        <w:t>Programmes</w:t>
      </w:r>
      <w:proofErr w:type="spellEnd"/>
      <w:r w:rsidRPr="003B1115">
        <w:rPr>
          <w:i/>
          <w:iCs/>
          <w:color w:val="444444"/>
          <w:sz w:val="21"/>
          <w:szCs w:val="21"/>
          <w:lang w:val="en-US"/>
        </w:rPr>
        <w:t xml:space="preserve"> from the </w:t>
      </w:r>
      <w:r w:rsidR="003B1115">
        <w:rPr>
          <w:i/>
          <w:iCs/>
          <w:color w:val="444444"/>
          <w:sz w:val="21"/>
          <w:szCs w:val="21"/>
          <w:lang w:val="en-US"/>
        </w:rPr>
        <w:t>CSP</w:t>
      </w:r>
      <w:r w:rsidRPr="003B1115">
        <w:rPr>
          <w:i/>
          <w:iCs/>
          <w:color w:val="444444"/>
          <w:sz w:val="21"/>
          <w:szCs w:val="21"/>
          <w:lang w:val="en-US"/>
        </w:rPr>
        <w:t xml:space="preserve"> in the partnership within the past ten years"</w:t>
      </w:r>
    </w:p>
    <w:p w14:paraId="2D8B0F0A" w14:textId="77777777" w:rsidR="0079053F" w:rsidRDefault="00000000" w:rsidP="00FB7D0D">
      <w:pPr>
        <w:spacing w:line="276" w:lineRule="auto"/>
        <w:rPr>
          <w:lang w:val="en-US"/>
        </w:rPr>
      </w:pPr>
      <w:proofErr w:type="spellStart"/>
      <w:r w:rsidRPr="003B1115">
        <w:rPr>
          <w:sz w:val="22"/>
          <w:szCs w:val="22"/>
          <w:lang w:val="en-US"/>
        </w:rPr>
        <w:t>til</w:t>
      </w:r>
      <w:proofErr w:type="spellEnd"/>
      <w:r w:rsidRPr="003B1115">
        <w:rPr>
          <w:sz w:val="22"/>
          <w:szCs w:val="22"/>
          <w:lang w:val="en-US"/>
        </w:rPr>
        <w:t>:</w:t>
      </w:r>
    </w:p>
    <w:p w14:paraId="53B5EE22" w14:textId="21434A6E" w:rsidR="009A2AFF" w:rsidRPr="003B1115" w:rsidRDefault="00000000" w:rsidP="00FB7D0D">
      <w:pPr>
        <w:spacing w:after="160" w:line="276" w:lineRule="auto"/>
        <w:rPr>
          <w:lang w:val="en-US"/>
        </w:rPr>
      </w:pPr>
      <w:r w:rsidRPr="003B1115">
        <w:rPr>
          <w:i/>
          <w:iCs/>
          <w:color w:val="444444"/>
          <w:sz w:val="21"/>
          <w:szCs w:val="21"/>
          <w:lang w:val="en-US"/>
        </w:rPr>
        <w:t xml:space="preserve">"Having been granted two Medium </w:t>
      </w:r>
      <w:proofErr w:type="spellStart"/>
      <w:r w:rsidRPr="003B1115">
        <w:rPr>
          <w:i/>
          <w:iCs/>
          <w:color w:val="444444"/>
          <w:sz w:val="21"/>
          <w:szCs w:val="21"/>
          <w:lang w:val="en-US"/>
        </w:rPr>
        <w:t>Programmes</w:t>
      </w:r>
      <w:proofErr w:type="spellEnd"/>
      <w:r w:rsidRPr="003B1115">
        <w:rPr>
          <w:i/>
          <w:iCs/>
          <w:color w:val="444444"/>
          <w:sz w:val="21"/>
          <w:szCs w:val="21"/>
          <w:lang w:val="en-US"/>
        </w:rPr>
        <w:t xml:space="preserve"> or equivalent program from the </w:t>
      </w:r>
      <w:r w:rsidR="003B1115">
        <w:rPr>
          <w:i/>
          <w:iCs/>
          <w:color w:val="444444"/>
          <w:sz w:val="21"/>
          <w:szCs w:val="21"/>
          <w:lang w:val="en-US"/>
        </w:rPr>
        <w:t>CSP</w:t>
      </w:r>
      <w:r w:rsidRPr="003B1115">
        <w:rPr>
          <w:i/>
          <w:iCs/>
          <w:color w:val="444444"/>
          <w:sz w:val="21"/>
          <w:szCs w:val="21"/>
          <w:lang w:val="en-US"/>
        </w:rPr>
        <w:t xml:space="preserve"> in the partnership within the past ten years."</w:t>
      </w:r>
    </w:p>
    <w:p w14:paraId="057D6FB0" w14:textId="042047FC" w:rsidR="009A2AFF" w:rsidRDefault="00000000" w:rsidP="00E27143">
      <w:pPr>
        <w:spacing w:after="200" w:line="276" w:lineRule="auto"/>
      </w:pPr>
      <w:r>
        <w:rPr>
          <w:sz w:val="22"/>
          <w:szCs w:val="22"/>
        </w:rPr>
        <w:t>Det fremgår ikke</w:t>
      </w:r>
      <w:r w:rsidR="00CA25EB">
        <w:rPr>
          <w:sz w:val="22"/>
          <w:szCs w:val="22"/>
        </w:rPr>
        <w:t xml:space="preserve"> klart</w:t>
      </w:r>
      <w:r>
        <w:rPr>
          <w:sz w:val="22"/>
          <w:szCs w:val="22"/>
        </w:rPr>
        <w:t>, hvad der konkret tæller som "</w:t>
      </w:r>
      <w:proofErr w:type="spellStart"/>
      <w:r>
        <w:rPr>
          <w:sz w:val="22"/>
          <w:szCs w:val="22"/>
        </w:rPr>
        <w:t>equivalent</w:t>
      </w:r>
      <w:proofErr w:type="spellEnd"/>
      <w:r>
        <w:rPr>
          <w:sz w:val="22"/>
          <w:szCs w:val="22"/>
        </w:rPr>
        <w:t xml:space="preserve"> program"</w:t>
      </w:r>
      <w:r w:rsidR="00CA25EB">
        <w:rPr>
          <w:sz w:val="22"/>
          <w:szCs w:val="22"/>
        </w:rPr>
        <w:t>,</w:t>
      </w:r>
      <w:r>
        <w:rPr>
          <w:sz w:val="22"/>
          <w:szCs w:val="22"/>
        </w:rPr>
        <w:t xml:space="preserve"> herunder om det kan omfatte programmer finansieret af andre donorer. </w:t>
      </w:r>
    </w:p>
    <w:p w14:paraId="5E16369A" w14:textId="6014E44A" w:rsidR="009A2AFF" w:rsidRPr="0079053F" w:rsidRDefault="005954DA" w:rsidP="00FB7D0D">
      <w:pPr>
        <w:spacing w:after="120" w:line="276" w:lineRule="auto"/>
        <w:rPr>
          <w:b/>
          <w:bCs/>
          <w:sz w:val="22"/>
          <w:szCs w:val="22"/>
        </w:rPr>
      </w:pPr>
      <w:r w:rsidRPr="0079053F">
        <w:rPr>
          <w:b/>
          <w:bCs/>
          <w:sz w:val="22"/>
          <w:szCs w:val="22"/>
        </w:rPr>
        <w:t>3. Vurderingskriterier for Medium og Large Programme (afsnit 5.6.2) og det manglende bilag</w:t>
      </w:r>
      <w:r w:rsidR="001A4367">
        <w:rPr>
          <w:b/>
          <w:bCs/>
          <w:sz w:val="22"/>
          <w:szCs w:val="22"/>
        </w:rPr>
        <w:t xml:space="preserve"> (Linje 119)</w:t>
      </w:r>
    </w:p>
    <w:p w14:paraId="15399767" w14:textId="77777777" w:rsidR="009A2AFF" w:rsidRDefault="00000000" w:rsidP="00FB7D0D">
      <w:pPr>
        <w:spacing w:after="120" w:line="276" w:lineRule="auto"/>
      </w:pPr>
      <w:r>
        <w:rPr>
          <w:sz w:val="22"/>
          <w:szCs w:val="22"/>
        </w:rPr>
        <w:t>Antallet af vurderingskriterier for Medium og Large Programme reduceres i udkastet fra otte til syv. Sammenholdt med de nuværende retningslinjer (afsnit 5.7 og 5.8) er der desuden tale om betydelige forskydninger i vægtningen, herunder:</w:t>
      </w:r>
    </w:p>
    <w:p w14:paraId="5D71FBA5" w14:textId="0B45A29D" w:rsidR="009A2AFF" w:rsidRDefault="00000000" w:rsidP="00FB7D0D">
      <w:pPr>
        <w:pStyle w:val="Listeafsnit"/>
        <w:numPr>
          <w:ilvl w:val="0"/>
          <w:numId w:val="1"/>
        </w:numPr>
        <w:spacing w:after="100" w:line="276" w:lineRule="auto"/>
      </w:pPr>
      <w:r>
        <w:rPr>
          <w:sz w:val="22"/>
          <w:szCs w:val="22"/>
        </w:rPr>
        <w:t xml:space="preserve">Kriteriet "Relevans" reduceres fra 24% til 10% </w:t>
      </w:r>
      <w:r w:rsidR="0079053F">
        <w:rPr>
          <w:sz w:val="22"/>
          <w:szCs w:val="22"/>
        </w:rPr>
        <w:t xml:space="preserve">- </w:t>
      </w:r>
      <w:r>
        <w:rPr>
          <w:sz w:val="22"/>
          <w:szCs w:val="22"/>
        </w:rPr>
        <w:t>den største enkeltændring i skemaet.</w:t>
      </w:r>
    </w:p>
    <w:p w14:paraId="78CFCFBD" w14:textId="77777777" w:rsidR="009A2AFF" w:rsidRDefault="00000000" w:rsidP="00FB7D0D">
      <w:pPr>
        <w:pStyle w:val="Listeafsnit"/>
        <w:numPr>
          <w:ilvl w:val="0"/>
          <w:numId w:val="1"/>
        </w:numPr>
        <w:spacing w:after="100" w:line="276" w:lineRule="auto"/>
      </w:pPr>
      <w:r>
        <w:rPr>
          <w:sz w:val="22"/>
          <w:szCs w:val="22"/>
        </w:rPr>
        <w:t>Kriteriet "Målgruppe" fordobles fra 10% til 20%.</w:t>
      </w:r>
    </w:p>
    <w:p w14:paraId="57618DF4" w14:textId="77777777" w:rsidR="009A2AFF" w:rsidRDefault="00000000" w:rsidP="00FB7D0D">
      <w:pPr>
        <w:pStyle w:val="Listeafsnit"/>
        <w:numPr>
          <w:ilvl w:val="0"/>
          <w:numId w:val="1"/>
        </w:numPr>
        <w:spacing w:after="100" w:line="276" w:lineRule="auto"/>
      </w:pPr>
      <w:r>
        <w:rPr>
          <w:sz w:val="22"/>
          <w:szCs w:val="22"/>
        </w:rPr>
        <w:t>"Risikostyring" (tidligere "</w:t>
      </w:r>
      <w:proofErr w:type="spellStart"/>
      <w:r>
        <w:rPr>
          <w:sz w:val="22"/>
          <w:szCs w:val="22"/>
        </w:rPr>
        <w:t>Managing</w:t>
      </w:r>
      <w:proofErr w:type="spellEnd"/>
      <w:r>
        <w:rPr>
          <w:sz w:val="22"/>
          <w:szCs w:val="22"/>
        </w:rPr>
        <w:t xml:space="preserve"> </w:t>
      </w:r>
      <w:proofErr w:type="spellStart"/>
      <w:r>
        <w:rPr>
          <w:sz w:val="22"/>
          <w:szCs w:val="22"/>
        </w:rPr>
        <w:t>risks</w:t>
      </w:r>
      <w:proofErr w:type="spellEnd"/>
      <w:r>
        <w:rPr>
          <w:sz w:val="22"/>
          <w:szCs w:val="22"/>
        </w:rPr>
        <w:t>", 5%) findes ikke længere som selvstændigt kriterie.</w:t>
      </w:r>
    </w:p>
    <w:p w14:paraId="27D55C75" w14:textId="7BAF609E" w:rsidR="009A2AFF" w:rsidRDefault="00000000" w:rsidP="00FB7D0D">
      <w:pPr>
        <w:spacing w:after="160" w:line="276" w:lineRule="auto"/>
      </w:pPr>
      <w:r>
        <w:rPr>
          <w:sz w:val="22"/>
          <w:szCs w:val="22"/>
        </w:rPr>
        <w:lastRenderedPageBreak/>
        <w:t xml:space="preserve">CISU har oplyst, at de syv kriterier vil blive uddybet i et særskilt bilag, som tidligst offentliggøres ved udgangen af september 2026, og som desuden skal godkendes af Udenrigsministeriet. </w:t>
      </w:r>
    </w:p>
    <w:p w14:paraId="3F48C0B5" w14:textId="101895FC" w:rsidR="009A2AFF" w:rsidRDefault="00000000" w:rsidP="00FB7D0D">
      <w:pPr>
        <w:spacing w:after="160" w:line="276" w:lineRule="auto"/>
      </w:pPr>
      <w:r>
        <w:rPr>
          <w:sz w:val="22"/>
          <w:szCs w:val="22"/>
        </w:rPr>
        <w:t>GV finder det vanskeligt at afgive et kvalificeret høringssvar om selve vægtningen af kriterierne</w:t>
      </w:r>
      <w:r w:rsidR="006E129C">
        <w:rPr>
          <w:sz w:val="22"/>
          <w:szCs w:val="22"/>
        </w:rPr>
        <w:t>,</w:t>
      </w:r>
      <w:r>
        <w:rPr>
          <w:sz w:val="22"/>
          <w:szCs w:val="22"/>
        </w:rPr>
        <w:t xml:space="preserve"> herunder den markante reduktion af relevans-kriteriet og fordoblingen af målgruppe-kriteriet</w:t>
      </w:r>
      <w:r w:rsidR="006E129C">
        <w:rPr>
          <w:sz w:val="22"/>
          <w:szCs w:val="22"/>
        </w:rPr>
        <w:t>,</w:t>
      </w:r>
      <w:r>
        <w:rPr>
          <w:sz w:val="22"/>
          <w:szCs w:val="22"/>
        </w:rPr>
        <w:t xml:space="preserve"> når tekst</w:t>
      </w:r>
      <w:r w:rsidR="005954DA">
        <w:rPr>
          <w:sz w:val="22"/>
          <w:szCs w:val="22"/>
        </w:rPr>
        <w:t>en</w:t>
      </w:r>
      <w:r>
        <w:rPr>
          <w:sz w:val="22"/>
          <w:szCs w:val="22"/>
        </w:rPr>
        <w:t>, der konkret definerer, hvad der efterspørges, endnu ikke foreligger.</w:t>
      </w:r>
    </w:p>
    <w:p w14:paraId="548E12BA" w14:textId="26CC817D" w:rsidR="009A2AFF" w:rsidRPr="0079053F" w:rsidRDefault="005954DA" w:rsidP="00E27143">
      <w:pPr>
        <w:spacing w:after="200" w:line="276" w:lineRule="auto"/>
        <w:rPr>
          <w:i/>
          <w:iCs/>
        </w:rPr>
      </w:pPr>
      <w:r>
        <w:rPr>
          <w:sz w:val="22"/>
          <w:szCs w:val="22"/>
        </w:rPr>
        <w:t>Det bør afklares, hvorvidt bilaget fastlægges alene mellem CISU og Udenrigsministeriet. Dette bør ses i lyset af det gældende princip om gennemsigtighed i administrationen (</w:t>
      </w:r>
      <w:r w:rsidR="001A4367">
        <w:rPr>
          <w:sz w:val="22"/>
          <w:szCs w:val="22"/>
        </w:rPr>
        <w:t xml:space="preserve">Nuværende retningslinjer, </w:t>
      </w:r>
      <w:r>
        <w:rPr>
          <w:sz w:val="22"/>
          <w:szCs w:val="22"/>
        </w:rPr>
        <w:t xml:space="preserve">afsnit 8.5), hvorefter </w:t>
      </w:r>
      <w:r w:rsidRPr="0079053F">
        <w:rPr>
          <w:i/>
          <w:iCs/>
          <w:sz w:val="22"/>
          <w:szCs w:val="22"/>
        </w:rPr>
        <w:t xml:space="preserve">"all </w:t>
      </w:r>
      <w:proofErr w:type="spellStart"/>
      <w:r w:rsidRPr="0079053F">
        <w:rPr>
          <w:i/>
          <w:iCs/>
          <w:sz w:val="22"/>
          <w:szCs w:val="22"/>
        </w:rPr>
        <w:t>assessment</w:t>
      </w:r>
      <w:proofErr w:type="spellEnd"/>
      <w:r w:rsidRPr="0079053F">
        <w:rPr>
          <w:i/>
          <w:iCs/>
          <w:sz w:val="22"/>
          <w:szCs w:val="22"/>
        </w:rPr>
        <w:t xml:space="preserve"> </w:t>
      </w:r>
      <w:proofErr w:type="spellStart"/>
      <w:r w:rsidRPr="0079053F">
        <w:rPr>
          <w:i/>
          <w:iCs/>
          <w:sz w:val="22"/>
          <w:szCs w:val="22"/>
        </w:rPr>
        <w:t>criteria</w:t>
      </w:r>
      <w:proofErr w:type="spellEnd"/>
      <w:r w:rsidRPr="0079053F">
        <w:rPr>
          <w:i/>
          <w:iCs/>
          <w:sz w:val="22"/>
          <w:szCs w:val="22"/>
        </w:rPr>
        <w:t xml:space="preserve"> and </w:t>
      </w:r>
      <w:proofErr w:type="spellStart"/>
      <w:r w:rsidRPr="0079053F">
        <w:rPr>
          <w:i/>
          <w:iCs/>
          <w:sz w:val="22"/>
          <w:szCs w:val="22"/>
        </w:rPr>
        <w:t>processes</w:t>
      </w:r>
      <w:proofErr w:type="spellEnd"/>
      <w:r w:rsidRPr="0079053F">
        <w:rPr>
          <w:i/>
          <w:iCs/>
          <w:sz w:val="22"/>
          <w:szCs w:val="22"/>
        </w:rPr>
        <w:t xml:space="preserve"> </w:t>
      </w:r>
      <w:proofErr w:type="spellStart"/>
      <w:r w:rsidRPr="0079053F">
        <w:rPr>
          <w:i/>
          <w:iCs/>
          <w:sz w:val="22"/>
          <w:szCs w:val="22"/>
        </w:rPr>
        <w:t>are</w:t>
      </w:r>
      <w:proofErr w:type="spellEnd"/>
      <w:r w:rsidRPr="0079053F">
        <w:rPr>
          <w:i/>
          <w:iCs/>
          <w:sz w:val="22"/>
          <w:szCs w:val="22"/>
        </w:rPr>
        <w:t xml:space="preserve"> </w:t>
      </w:r>
      <w:proofErr w:type="spellStart"/>
      <w:r w:rsidRPr="0079053F">
        <w:rPr>
          <w:i/>
          <w:iCs/>
          <w:sz w:val="22"/>
          <w:szCs w:val="22"/>
        </w:rPr>
        <w:t>explicit</w:t>
      </w:r>
      <w:proofErr w:type="spellEnd"/>
      <w:r w:rsidRPr="0079053F">
        <w:rPr>
          <w:i/>
          <w:iCs/>
          <w:sz w:val="22"/>
          <w:szCs w:val="22"/>
        </w:rPr>
        <w:t xml:space="preserve"> and </w:t>
      </w:r>
      <w:proofErr w:type="spellStart"/>
      <w:r w:rsidRPr="0079053F">
        <w:rPr>
          <w:i/>
          <w:iCs/>
          <w:sz w:val="22"/>
          <w:szCs w:val="22"/>
        </w:rPr>
        <w:t>available</w:t>
      </w:r>
      <w:proofErr w:type="spellEnd"/>
      <w:r w:rsidRPr="0079053F">
        <w:rPr>
          <w:i/>
          <w:iCs/>
          <w:sz w:val="22"/>
          <w:szCs w:val="22"/>
        </w:rPr>
        <w:t xml:space="preserve"> to all </w:t>
      </w:r>
      <w:proofErr w:type="spellStart"/>
      <w:r w:rsidRPr="0079053F">
        <w:rPr>
          <w:i/>
          <w:iCs/>
          <w:sz w:val="22"/>
          <w:szCs w:val="22"/>
        </w:rPr>
        <w:t>applicants</w:t>
      </w:r>
      <w:proofErr w:type="spellEnd"/>
      <w:r w:rsidRPr="0079053F">
        <w:rPr>
          <w:i/>
          <w:iCs/>
          <w:sz w:val="22"/>
          <w:szCs w:val="22"/>
        </w:rPr>
        <w:t>".</w:t>
      </w:r>
    </w:p>
    <w:p w14:paraId="424353C8" w14:textId="15EA4AB0" w:rsidR="00370F24" w:rsidRPr="00370F24" w:rsidRDefault="00370F24" w:rsidP="00370F24">
      <w:pPr>
        <w:spacing w:after="160" w:line="276" w:lineRule="auto"/>
        <w:rPr>
          <w:sz w:val="22"/>
          <w:szCs w:val="22"/>
        </w:rPr>
      </w:pPr>
      <w:r>
        <w:rPr>
          <w:b/>
          <w:bCs/>
          <w:sz w:val="22"/>
          <w:szCs w:val="22"/>
        </w:rPr>
        <w:t>4</w:t>
      </w:r>
      <w:r w:rsidRPr="00370F24">
        <w:rPr>
          <w:b/>
          <w:bCs/>
          <w:sz w:val="22"/>
          <w:szCs w:val="22"/>
        </w:rPr>
        <w:t xml:space="preserve">. Timing mellem eksternt </w:t>
      </w:r>
      <w:proofErr w:type="spellStart"/>
      <w:r w:rsidRPr="00370F24">
        <w:rPr>
          <w:b/>
          <w:bCs/>
          <w:sz w:val="22"/>
          <w:szCs w:val="22"/>
        </w:rPr>
        <w:t>review</w:t>
      </w:r>
      <w:proofErr w:type="spellEnd"/>
      <w:r w:rsidRPr="00370F24">
        <w:rPr>
          <w:b/>
          <w:bCs/>
          <w:sz w:val="22"/>
          <w:szCs w:val="22"/>
        </w:rPr>
        <w:t xml:space="preserve"> og Expression of </w:t>
      </w:r>
      <w:proofErr w:type="spellStart"/>
      <w:r w:rsidRPr="00370F24">
        <w:rPr>
          <w:b/>
          <w:bCs/>
          <w:sz w:val="22"/>
          <w:szCs w:val="22"/>
        </w:rPr>
        <w:t>Interest</w:t>
      </w:r>
      <w:proofErr w:type="spellEnd"/>
      <w:r w:rsidRPr="00370F24">
        <w:rPr>
          <w:b/>
          <w:bCs/>
          <w:sz w:val="22"/>
          <w:szCs w:val="22"/>
        </w:rPr>
        <w:t xml:space="preserve"> (</w:t>
      </w:r>
      <w:proofErr w:type="spellStart"/>
      <w:r w:rsidRPr="00370F24">
        <w:rPr>
          <w:b/>
          <w:bCs/>
          <w:sz w:val="22"/>
          <w:szCs w:val="22"/>
        </w:rPr>
        <w:t>EoI</w:t>
      </w:r>
      <w:proofErr w:type="spellEnd"/>
      <w:r w:rsidRPr="00370F24">
        <w:rPr>
          <w:b/>
          <w:bCs/>
          <w:sz w:val="22"/>
          <w:szCs w:val="22"/>
        </w:rPr>
        <w:t>)</w:t>
      </w:r>
      <w:r w:rsidR="001A4367">
        <w:rPr>
          <w:b/>
          <w:bCs/>
          <w:sz w:val="22"/>
          <w:szCs w:val="22"/>
        </w:rPr>
        <w:t xml:space="preserve"> (</w:t>
      </w:r>
      <w:proofErr w:type="spellStart"/>
      <w:r w:rsidR="001A4367">
        <w:rPr>
          <w:b/>
          <w:bCs/>
          <w:sz w:val="22"/>
          <w:szCs w:val="22"/>
        </w:rPr>
        <w:t>Annex</w:t>
      </w:r>
      <w:proofErr w:type="spellEnd"/>
      <w:r w:rsidR="001A4367">
        <w:rPr>
          <w:b/>
          <w:bCs/>
          <w:sz w:val="22"/>
          <w:szCs w:val="22"/>
        </w:rPr>
        <w:t xml:space="preserve"> 2)</w:t>
      </w:r>
    </w:p>
    <w:p w14:paraId="4EB05C75" w14:textId="77777777" w:rsidR="004B4591" w:rsidRPr="004B4591" w:rsidRDefault="004B4591" w:rsidP="004B4591">
      <w:pPr>
        <w:spacing w:after="160" w:line="276" w:lineRule="auto"/>
        <w:rPr>
          <w:sz w:val="22"/>
          <w:szCs w:val="22"/>
        </w:rPr>
      </w:pPr>
      <w:r w:rsidRPr="004B4591">
        <w:rPr>
          <w:sz w:val="22"/>
          <w:szCs w:val="22"/>
        </w:rPr>
        <w:t xml:space="preserve">Ifølge </w:t>
      </w:r>
      <w:proofErr w:type="spellStart"/>
      <w:r w:rsidRPr="004B4591">
        <w:rPr>
          <w:sz w:val="22"/>
          <w:szCs w:val="22"/>
        </w:rPr>
        <w:t>CISUs</w:t>
      </w:r>
      <w:proofErr w:type="spellEnd"/>
      <w:r w:rsidRPr="004B4591">
        <w:rPr>
          <w:sz w:val="22"/>
          <w:szCs w:val="22"/>
        </w:rPr>
        <w:t xml:space="preserve"> tidsplan (</w:t>
      </w:r>
      <w:proofErr w:type="spellStart"/>
      <w:r w:rsidRPr="004B4591">
        <w:rPr>
          <w:sz w:val="22"/>
          <w:szCs w:val="22"/>
        </w:rPr>
        <w:t>annex</w:t>
      </w:r>
      <w:proofErr w:type="spellEnd"/>
      <w:r w:rsidRPr="004B4591">
        <w:rPr>
          <w:sz w:val="22"/>
          <w:szCs w:val="22"/>
        </w:rPr>
        <w:t xml:space="preserve"> 2) skal det eksterne </w:t>
      </w:r>
      <w:proofErr w:type="spellStart"/>
      <w:r w:rsidRPr="004B4591">
        <w:rPr>
          <w:sz w:val="22"/>
          <w:szCs w:val="22"/>
        </w:rPr>
        <w:t>review</w:t>
      </w:r>
      <w:proofErr w:type="spellEnd"/>
      <w:r w:rsidRPr="004B4591">
        <w:rPr>
          <w:sz w:val="22"/>
          <w:szCs w:val="22"/>
        </w:rPr>
        <w:t xml:space="preserve">, som bl.a. skal belyse relevansen af en eventuel ny programfase, gennemføres i perioden 15. september til 1. december i programmets år 3, med endelig rapport senest 15. januar i år 4. </w:t>
      </w:r>
      <w:proofErr w:type="spellStart"/>
      <w:r w:rsidRPr="004B4591">
        <w:rPr>
          <w:sz w:val="22"/>
          <w:szCs w:val="22"/>
        </w:rPr>
        <w:t>EoI</w:t>
      </w:r>
      <w:proofErr w:type="spellEnd"/>
      <w:r w:rsidRPr="004B4591">
        <w:rPr>
          <w:sz w:val="22"/>
          <w:szCs w:val="22"/>
        </w:rPr>
        <w:t xml:space="preserve"> skal imidlertid indsendes allerede 1. december 2026, altså før det eksterne </w:t>
      </w:r>
      <w:proofErr w:type="spellStart"/>
      <w:r w:rsidRPr="004B4591">
        <w:rPr>
          <w:sz w:val="22"/>
          <w:szCs w:val="22"/>
        </w:rPr>
        <w:t>reviews</w:t>
      </w:r>
      <w:proofErr w:type="spellEnd"/>
      <w:r w:rsidRPr="004B4591">
        <w:rPr>
          <w:sz w:val="22"/>
          <w:szCs w:val="22"/>
        </w:rPr>
        <w:t xml:space="preserve"> konklusioner foreligger. Vi er blevet oplyst, at </w:t>
      </w:r>
      <w:proofErr w:type="spellStart"/>
      <w:r w:rsidRPr="004B4591">
        <w:rPr>
          <w:sz w:val="22"/>
          <w:szCs w:val="22"/>
        </w:rPr>
        <w:t>EoI</w:t>
      </w:r>
      <w:proofErr w:type="spellEnd"/>
      <w:r w:rsidRPr="004B4591">
        <w:rPr>
          <w:sz w:val="22"/>
          <w:szCs w:val="22"/>
        </w:rPr>
        <w:t>-formatet skal revideres, men ved ikke hvornår vi kan forvente det reviderede format, eller hvor omfattende revisionen vil være. Nedenstående henviser derfor til det eksisterende format.</w:t>
      </w:r>
    </w:p>
    <w:p w14:paraId="5ED7CAE5" w14:textId="51D4C6ED" w:rsidR="004B4591" w:rsidRPr="004B4591" w:rsidRDefault="004B4591" w:rsidP="004B4591">
      <w:pPr>
        <w:spacing w:after="160" w:line="276" w:lineRule="auto"/>
        <w:rPr>
          <w:sz w:val="22"/>
          <w:szCs w:val="22"/>
        </w:rPr>
      </w:pPr>
      <w:r>
        <w:rPr>
          <w:sz w:val="22"/>
          <w:szCs w:val="22"/>
        </w:rPr>
        <w:t>Timingen</w:t>
      </w:r>
      <w:r w:rsidRPr="004B4591">
        <w:rPr>
          <w:sz w:val="22"/>
          <w:szCs w:val="22"/>
        </w:rPr>
        <w:t xml:space="preserve"> betyder, at vi skal udfylde og underskrive </w:t>
      </w:r>
      <w:proofErr w:type="spellStart"/>
      <w:r w:rsidRPr="004B4591">
        <w:rPr>
          <w:sz w:val="22"/>
          <w:szCs w:val="22"/>
        </w:rPr>
        <w:t>EoI</w:t>
      </w:r>
      <w:proofErr w:type="spellEnd"/>
      <w:r>
        <w:rPr>
          <w:sz w:val="22"/>
          <w:szCs w:val="22"/>
        </w:rPr>
        <w:t xml:space="preserve">, </w:t>
      </w:r>
      <w:r w:rsidRPr="004B4591">
        <w:rPr>
          <w:sz w:val="22"/>
          <w:szCs w:val="22"/>
        </w:rPr>
        <w:t>herunder tage stilling til programpartnerskab, foreløbig strategi og budgetstørrelse</w:t>
      </w:r>
      <w:r>
        <w:rPr>
          <w:sz w:val="22"/>
          <w:szCs w:val="22"/>
        </w:rPr>
        <w:t xml:space="preserve">, </w:t>
      </w:r>
      <w:r w:rsidRPr="004B4591">
        <w:rPr>
          <w:sz w:val="22"/>
          <w:szCs w:val="22"/>
        </w:rPr>
        <w:t xml:space="preserve">uden at kende </w:t>
      </w:r>
      <w:proofErr w:type="spellStart"/>
      <w:r w:rsidRPr="004B4591">
        <w:rPr>
          <w:sz w:val="22"/>
          <w:szCs w:val="22"/>
        </w:rPr>
        <w:t>reviewets</w:t>
      </w:r>
      <w:proofErr w:type="spellEnd"/>
      <w:r w:rsidRPr="004B4591">
        <w:rPr>
          <w:sz w:val="22"/>
          <w:szCs w:val="22"/>
        </w:rPr>
        <w:t xml:space="preserve"> anbefalinger til den kommende programfase. Det gælder ikke kun budgetfordelingen, men også mere grundlæggende elementer som partnerkreds og strategisk retning, som </w:t>
      </w:r>
      <w:proofErr w:type="spellStart"/>
      <w:r w:rsidRPr="004B4591">
        <w:rPr>
          <w:sz w:val="22"/>
          <w:szCs w:val="22"/>
        </w:rPr>
        <w:t>reviewet</w:t>
      </w:r>
      <w:proofErr w:type="spellEnd"/>
      <w:r w:rsidRPr="004B4591">
        <w:rPr>
          <w:sz w:val="22"/>
          <w:szCs w:val="22"/>
        </w:rPr>
        <w:t xml:space="preserve"> netop er tiltænkt at kvalificere.</w:t>
      </w:r>
    </w:p>
    <w:p w14:paraId="178F9D98" w14:textId="77777777" w:rsidR="004B4591" w:rsidRPr="004B4591" w:rsidRDefault="004B4591" w:rsidP="004B4591">
      <w:pPr>
        <w:spacing w:after="160" w:line="276" w:lineRule="auto"/>
        <w:rPr>
          <w:sz w:val="22"/>
          <w:szCs w:val="22"/>
        </w:rPr>
      </w:pPr>
      <w:r w:rsidRPr="004B4591">
        <w:rPr>
          <w:sz w:val="22"/>
          <w:szCs w:val="22"/>
        </w:rPr>
        <w:t xml:space="preserve">Dette er særligt problematisk for GV, da vores vilkår med CSF-reformen har ændret sig radikalt og nødvendiggør en reduktion af det ansøgte program på ca. 30% i forhold til det nuværende program. GV og partnerne skal dermed udarbejde og underskrive </w:t>
      </w:r>
      <w:proofErr w:type="spellStart"/>
      <w:r w:rsidRPr="004B4591">
        <w:rPr>
          <w:sz w:val="22"/>
          <w:szCs w:val="22"/>
        </w:rPr>
        <w:t>EoI</w:t>
      </w:r>
      <w:proofErr w:type="spellEnd"/>
      <w:r w:rsidRPr="004B4591">
        <w:rPr>
          <w:sz w:val="22"/>
          <w:szCs w:val="22"/>
        </w:rPr>
        <w:t xml:space="preserve"> på et tidspunkt, hvor det endnu ikke er afklaret, hvordan denne reduktion konkret skal udmøntes, og uden den kvalificering, som det eksterne </w:t>
      </w:r>
      <w:proofErr w:type="spellStart"/>
      <w:r w:rsidRPr="004B4591">
        <w:rPr>
          <w:sz w:val="22"/>
          <w:szCs w:val="22"/>
        </w:rPr>
        <w:t>review</w:t>
      </w:r>
      <w:proofErr w:type="spellEnd"/>
      <w:r w:rsidRPr="004B4591">
        <w:rPr>
          <w:sz w:val="22"/>
          <w:szCs w:val="22"/>
        </w:rPr>
        <w:t xml:space="preserve"> skal bidrage med.</w:t>
      </w:r>
    </w:p>
    <w:p w14:paraId="7B9D80FE" w14:textId="004EC4A0" w:rsidR="004B4591" w:rsidRPr="004B4591" w:rsidRDefault="004B4591" w:rsidP="004B4591">
      <w:pPr>
        <w:spacing w:after="160" w:line="276" w:lineRule="auto"/>
        <w:rPr>
          <w:sz w:val="22"/>
          <w:szCs w:val="22"/>
        </w:rPr>
      </w:pPr>
      <w:r w:rsidRPr="004B4591">
        <w:rPr>
          <w:sz w:val="22"/>
          <w:szCs w:val="22"/>
        </w:rPr>
        <w:t xml:space="preserve">GV bemærker desuden, at </w:t>
      </w:r>
      <w:proofErr w:type="spellStart"/>
      <w:r w:rsidRPr="004B4591">
        <w:rPr>
          <w:sz w:val="22"/>
          <w:szCs w:val="22"/>
        </w:rPr>
        <w:t>EoI</w:t>
      </w:r>
      <w:proofErr w:type="spellEnd"/>
      <w:r w:rsidRPr="004B4591">
        <w:rPr>
          <w:sz w:val="22"/>
          <w:szCs w:val="22"/>
        </w:rPr>
        <w:t xml:space="preserve"> ikke skal vurderes af bevillingssystemet, men først og fremmest skal give CISU en indikation af, hvor mange organisationer der søger, og hvor meget. Det eksisterende </w:t>
      </w:r>
      <w:proofErr w:type="spellStart"/>
      <w:r w:rsidRPr="004B4591">
        <w:rPr>
          <w:sz w:val="22"/>
          <w:szCs w:val="22"/>
        </w:rPr>
        <w:t>EoI</w:t>
      </w:r>
      <w:proofErr w:type="spellEnd"/>
      <w:r w:rsidRPr="004B4591">
        <w:rPr>
          <w:sz w:val="22"/>
          <w:szCs w:val="22"/>
        </w:rPr>
        <w:t xml:space="preserve">-format stiller imidlertid ganske konkrete krav, herunder til fordeling på budgetkategorier, som ikke umiddelbart står i forhold til dette formål. GV opfordrer til, at det reviderede format i stedet holdes på et mere overordnet niveau, der matcher </w:t>
      </w:r>
      <w:proofErr w:type="spellStart"/>
      <w:r w:rsidRPr="004B4591">
        <w:rPr>
          <w:sz w:val="22"/>
          <w:szCs w:val="22"/>
        </w:rPr>
        <w:t>EoI's</w:t>
      </w:r>
      <w:proofErr w:type="spellEnd"/>
      <w:r w:rsidRPr="004B4591">
        <w:rPr>
          <w:sz w:val="22"/>
          <w:szCs w:val="22"/>
        </w:rPr>
        <w:t xml:space="preserve"> karakter af indledende tilkendegivelse.</w:t>
      </w:r>
    </w:p>
    <w:p w14:paraId="2DF66DCB" w14:textId="77777777" w:rsidR="004B4591" w:rsidRPr="001C4E4F" w:rsidRDefault="004B4591" w:rsidP="00370F24">
      <w:pPr>
        <w:spacing w:after="160" w:line="276" w:lineRule="auto"/>
        <w:rPr>
          <w:sz w:val="22"/>
          <w:szCs w:val="22"/>
        </w:rPr>
      </w:pPr>
    </w:p>
    <w:p w14:paraId="6CE9856F" w14:textId="121A96E5" w:rsidR="009A2AFF" w:rsidRDefault="009A2AFF" w:rsidP="00FB7D0D">
      <w:pPr>
        <w:spacing w:after="160" w:line="276" w:lineRule="auto"/>
      </w:pPr>
    </w:p>
    <w:sectPr w:rsidR="009A2AFF">
      <w:headerReference w:type="default" r:id="rId8"/>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9AF56" w14:textId="77777777" w:rsidR="00882768" w:rsidRDefault="00882768">
      <w:r>
        <w:separator/>
      </w:r>
    </w:p>
  </w:endnote>
  <w:endnote w:type="continuationSeparator" w:id="0">
    <w:p w14:paraId="6CACD383" w14:textId="77777777" w:rsidR="00882768" w:rsidRDefault="008827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594095"/>
      <w:docPartObj>
        <w:docPartGallery w:val="Page Numbers (Bottom of Page)"/>
        <w:docPartUnique/>
      </w:docPartObj>
    </w:sdtPr>
    <w:sdtContent>
      <w:p w14:paraId="7F542CF2" w14:textId="17BA5997" w:rsidR="00FB7D0D" w:rsidRDefault="00FB7D0D">
        <w:pPr>
          <w:pStyle w:val="Sidefod"/>
          <w:jc w:val="right"/>
        </w:pPr>
        <w:r>
          <w:fldChar w:fldCharType="begin"/>
        </w:r>
        <w:r>
          <w:instrText>PAGE   \* MERGEFORMAT</w:instrText>
        </w:r>
        <w:r>
          <w:fldChar w:fldCharType="separate"/>
        </w:r>
        <w:r>
          <w:t>2</w:t>
        </w:r>
        <w:r>
          <w:fldChar w:fldCharType="end"/>
        </w:r>
      </w:p>
    </w:sdtContent>
  </w:sdt>
  <w:p w14:paraId="50F6381A" w14:textId="0E3AC2E9" w:rsidR="009A2AFF" w:rsidRDefault="009A2AFF">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F42CC" w14:textId="77777777" w:rsidR="00882768" w:rsidRDefault="00882768">
      <w:r>
        <w:separator/>
      </w:r>
    </w:p>
  </w:footnote>
  <w:footnote w:type="continuationSeparator" w:id="0">
    <w:p w14:paraId="58544406" w14:textId="77777777" w:rsidR="00882768" w:rsidRDefault="008827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CE18" w14:textId="7AB6DD3A" w:rsidR="009A2AFF" w:rsidRDefault="00000000">
    <w:pPr>
      <w:jc w:val="right"/>
    </w:pPr>
    <w:r>
      <w:rPr>
        <w:color w:val="999999"/>
        <w:sz w:val="16"/>
        <w:szCs w:val="16"/>
      </w:rPr>
      <w:t xml:space="preserve">Ghana Venskab </w:t>
    </w:r>
    <w:r w:rsidR="001C4E4F">
      <w:rPr>
        <w:color w:val="999999"/>
        <w:sz w:val="16"/>
        <w:szCs w:val="16"/>
      </w:rPr>
      <w:t xml:space="preserve">- </w:t>
    </w:r>
    <w:r>
      <w:rPr>
        <w:color w:val="999999"/>
        <w:sz w:val="16"/>
        <w:szCs w:val="16"/>
      </w:rPr>
      <w:t xml:space="preserve">Høringssvar </w:t>
    </w:r>
    <w:r w:rsidR="003B1115">
      <w:rPr>
        <w:color w:val="999999"/>
        <w:sz w:val="16"/>
        <w:szCs w:val="16"/>
      </w:rPr>
      <w:t>CSP</w:t>
    </w:r>
    <w:r>
      <w:rPr>
        <w:color w:val="999999"/>
        <w:sz w:val="16"/>
        <w:szCs w:val="16"/>
      </w:rPr>
      <w:t>-retningslinjer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F7BFD"/>
    <w:multiLevelType w:val="hybridMultilevel"/>
    <w:tmpl w:val="B8D094AA"/>
    <w:lvl w:ilvl="0" w:tplc="DC3A2936">
      <w:start w:val="1"/>
      <w:numFmt w:val="bullet"/>
      <w:lvlText w:val="●"/>
      <w:lvlJc w:val="left"/>
      <w:pPr>
        <w:ind w:left="720" w:hanging="360"/>
      </w:pPr>
    </w:lvl>
    <w:lvl w:ilvl="1" w:tplc="7DF8F226">
      <w:start w:val="1"/>
      <w:numFmt w:val="bullet"/>
      <w:lvlText w:val="○"/>
      <w:lvlJc w:val="left"/>
      <w:pPr>
        <w:ind w:left="1440" w:hanging="360"/>
      </w:pPr>
    </w:lvl>
    <w:lvl w:ilvl="2" w:tplc="3DAA0A72">
      <w:start w:val="1"/>
      <w:numFmt w:val="bullet"/>
      <w:lvlText w:val="■"/>
      <w:lvlJc w:val="left"/>
      <w:pPr>
        <w:ind w:left="2160" w:hanging="360"/>
      </w:pPr>
    </w:lvl>
    <w:lvl w:ilvl="3" w:tplc="F4BEB776">
      <w:start w:val="1"/>
      <w:numFmt w:val="bullet"/>
      <w:lvlText w:val="●"/>
      <w:lvlJc w:val="left"/>
      <w:pPr>
        <w:ind w:left="2880" w:hanging="360"/>
      </w:pPr>
    </w:lvl>
    <w:lvl w:ilvl="4" w:tplc="BAE0AEA6">
      <w:start w:val="1"/>
      <w:numFmt w:val="bullet"/>
      <w:lvlText w:val="○"/>
      <w:lvlJc w:val="left"/>
      <w:pPr>
        <w:ind w:left="3600" w:hanging="360"/>
      </w:pPr>
    </w:lvl>
    <w:lvl w:ilvl="5" w:tplc="9A4CC03C">
      <w:start w:val="1"/>
      <w:numFmt w:val="bullet"/>
      <w:lvlText w:val="■"/>
      <w:lvlJc w:val="left"/>
      <w:pPr>
        <w:ind w:left="4320" w:hanging="360"/>
      </w:pPr>
    </w:lvl>
    <w:lvl w:ilvl="6" w:tplc="413AA174">
      <w:start w:val="1"/>
      <w:numFmt w:val="bullet"/>
      <w:lvlText w:val="●"/>
      <w:lvlJc w:val="left"/>
      <w:pPr>
        <w:ind w:left="5040" w:hanging="360"/>
      </w:pPr>
    </w:lvl>
    <w:lvl w:ilvl="7" w:tplc="8C56443A">
      <w:start w:val="1"/>
      <w:numFmt w:val="bullet"/>
      <w:lvlText w:val="●"/>
      <w:lvlJc w:val="left"/>
      <w:pPr>
        <w:ind w:left="5760" w:hanging="360"/>
      </w:pPr>
    </w:lvl>
    <w:lvl w:ilvl="8" w:tplc="E9168F74">
      <w:start w:val="1"/>
      <w:numFmt w:val="bullet"/>
      <w:lvlText w:val="●"/>
      <w:lvlJc w:val="left"/>
      <w:pPr>
        <w:ind w:left="6480" w:hanging="360"/>
      </w:pPr>
    </w:lvl>
  </w:abstractNum>
  <w:abstractNum w:abstractNumId="1" w15:restartNumberingAfterBreak="0">
    <w:nsid w:val="7FB47BB0"/>
    <w:multiLevelType w:val="multilevel"/>
    <w:tmpl w:val="0BCE5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2740822">
    <w:abstractNumId w:val="0"/>
    <w:lvlOverride w:ilvl="0">
      <w:startOverride w:val="1"/>
    </w:lvlOverride>
  </w:num>
  <w:num w:numId="2" w16cid:durableId="1371103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AFF"/>
    <w:rsid w:val="001A4367"/>
    <w:rsid w:val="001C4E4F"/>
    <w:rsid w:val="003201FC"/>
    <w:rsid w:val="00370F24"/>
    <w:rsid w:val="003B1115"/>
    <w:rsid w:val="004B4591"/>
    <w:rsid w:val="005611E1"/>
    <w:rsid w:val="005954DA"/>
    <w:rsid w:val="006716E5"/>
    <w:rsid w:val="006E129C"/>
    <w:rsid w:val="007714E9"/>
    <w:rsid w:val="0079053F"/>
    <w:rsid w:val="00882768"/>
    <w:rsid w:val="009A2AFF"/>
    <w:rsid w:val="00CA25EB"/>
    <w:rsid w:val="00D32D56"/>
    <w:rsid w:val="00E27143"/>
    <w:rsid w:val="00FB0873"/>
    <w:rsid w:val="00FB7D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32A54"/>
  <w15:docId w15:val="{B6F26DB2-9F20-4386-AF75-5C94FC6B5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uiPriority w:val="9"/>
    <w:qFormat/>
    <w:pPr>
      <w:outlineLvl w:val="0"/>
    </w:pPr>
    <w:rPr>
      <w:color w:val="2E74B5"/>
      <w:sz w:val="32"/>
      <w:szCs w:val="32"/>
    </w:rPr>
  </w:style>
  <w:style w:type="paragraph" w:styleId="Overskrift2">
    <w:name w:val="heading 2"/>
    <w:uiPriority w:val="9"/>
    <w:unhideWhenUsed/>
    <w:qFormat/>
    <w:pPr>
      <w:outlineLvl w:val="1"/>
    </w:pPr>
    <w:rPr>
      <w:color w:val="2E74B5"/>
      <w:sz w:val="26"/>
      <w:szCs w:val="26"/>
    </w:rPr>
  </w:style>
  <w:style w:type="paragraph" w:styleId="Overskrift3">
    <w:name w:val="heading 3"/>
    <w:uiPriority w:val="9"/>
    <w:semiHidden/>
    <w:unhideWhenUsed/>
    <w:qFormat/>
    <w:pPr>
      <w:outlineLvl w:val="2"/>
    </w:pPr>
    <w:rPr>
      <w:color w:val="1F4D78"/>
      <w:sz w:val="24"/>
      <w:szCs w:val="24"/>
    </w:rPr>
  </w:style>
  <w:style w:type="paragraph" w:styleId="Overskrift4">
    <w:name w:val="heading 4"/>
    <w:uiPriority w:val="9"/>
    <w:semiHidden/>
    <w:unhideWhenUsed/>
    <w:qFormat/>
    <w:pPr>
      <w:outlineLvl w:val="3"/>
    </w:pPr>
    <w:rPr>
      <w:i/>
      <w:iCs/>
      <w:color w:val="2E74B5"/>
    </w:rPr>
  </w:style>
  <w:style w:type="paragraph" w:styleId="Overskrift5">
    <w:name w:val="heading 5"/>
    <w:uiPriority w:val="9"/>
    <w:semiHidden/>
    <w:unhideWhenUsed/>
    <w:qFormat/>
    <w:pPr>
      <w:outlineLvl w:val="4"/>
    </w:pPr>
    <w:rPr>
      <w:color w:val="2E74B5"/>
    </w:rPr>
  </w:style>
  <w:style w:type="paragraph" w:styleId="Overskrift6">
    <w:name w:val="heading 6"/>
    <w:uiPriority w:val="9"/>
    <w:semiHidden/>
    <w:unhideWhenUsed/>
    <w:qFormat/>
    <w:pPr>
      <w:outlineLvl w:val="5"/>
    </w:pPr>
    <w:rPr>
      <w:color w:val="1F4D7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uiPriority w:val="10"/>
    <w:qFormat/>
    <w:rPr>
      <w:sz w:val="56"/>
      <w:szCs w:val="56"/>
    </w:rPr>
  </w:style>
  <w:style w:type="paragraph" w:customStyle="1" w:styleId="Strk1">
    <w:name w:val="Stærk1"/>
    <w:qFormat/>
    <w:rPr>
      <w:b/>
      <w:bCs/>
    </w:rPr>
  </w:style>
  <w:style w:type="paragraph" w:styleId="Listeafsnit">
    <w:name w:val="List Paragraph"/>
    <w:qFormat/>
  </w:style>
  <w:style w:type="character" w:styleId="Hyperlink">
    <w:name w:val="Hyperlink"/>
    <w:uiPriority w:val="99"/>
    <w:unhideWhenUsed/>
    <w:rPr>
      <w:color w:val="0563C1"/>
      <w:u w:val="single"/>
    </w:rPr>
  </w:style>
  <w:style w:type="character" w:styleId="Fodnotehenvisning">
    <w:name w:val="footnote reference"/>
    <w:uiPriority w:val="99"/>
    <w:semiHidden/>
    <w:unhideWhenUsed/>
    <w:rPr>
      <w:vertAlign w:val="superscript"/>
    </w:rPr>
  </w:style>
  <w:style w:type="paragraph" w:styleId="Fodnotetekst">
    <w:name w:val="footnote text"/>
    <w:link w:val="FodnotetekstTegn"/>
    <w:uiPriority w:val="99"/>
    <w:semiHidden/>
    <w:unhideWhenUsed/>
  </w:style>
  <w:style w:type="character" w:customStyle="1" w:styleId="FodnotetekstTegn">
    <w:name w:val="Fodnotetekst Tegn"/>
    <w:link w:val="Fodnotetekst"/>
    <w:uiPriority w:val="99"/>
    <w:semiHidden/>
    <w:unhideWhenUsed/>
    <w:rPr>
      <w:sz w:val="20"/>
      <w:szCs w:val="20"/>
    </w:rPr>
  </w:style>
  <w:style w:type="character" w:styleId="Slutnotehenvisning">
    <w:name w:val="endnote reference"/>
    <w:uiPriority w:val="99"/>
    <w:semiHidden/>
    <w:unhideWhenUsed/>
    <w:rPr>
      <w:vertAlign w:val="superscript"/>
    </w:rPr>
  </w:style>
  <w:style w:type="paragraph" w:styleId="Slutnotetekst">
    <w:name w:val="endnote text"/>
    <w:link w:val="SlutnotetekstTegn"/>
    <w:uiPriority w:val="99"/>
    <w:semiHidden/>
    <w:unhideWhenUsed/>
  </w:style>
  <w:style w:type="character" w:customStyle="1" w:styleId="SlutnotetekstTegn">
    <w:name w:val="Slutnotetekst Tegn"/>
    <w:link w:val="Slutnotetekst"/>
    <w:uiPriority w:val="99"/>
    <w:semiHidden/>
    <w:unhideWhenUsed/>
    <w:rPr>
      <w:sz w:val="20"/>
      <w:szCs w:val="20"/>
    </w:rPr>
  </w:style>
  <w:style w:type="paragraph" w:styleId="Sidehoved">
    <w:name w:val="header"/>
    <w:basedOn w:val="Normal"/>
    <w:link w:val="SidehovedTegn"/>
    <w:uiPriority w:val="99"/>
    <w:unhideWhenUsed/>
    <w:rsid w:val="00FB7D0D"/>
    <w:pPr>
      <w:tabs>
        <w:tab w:val="center" w:pos="4819"/>
        <w:tab w:val="right" w:pos="9638"/>
      </w:tabs>
    </w:pPr>
  </w:style>
  <w:style w:type="character" w:customStyle="1" w:styleId="SidehovedTegn">
    <w:name w:val="Sidehoved Tegn"/>
    <w:basedOn w:val="Standardskrifttypeiafsnit"/>
    <w:link w:val="Sidehoved"/>
    <w:uiPriority w:val="99"/>
    <w:rsid w:val="00FB7D0D"/>
  </w:style>
  <w:style w:type="paragraph" w:styleId="Sidefod">
    <w:name w:val="footer"/>
    <w:basedOn w:val="Normal"/>
    <w:link w:val="SidefodTegn"/>
    <w:uiPriority w:val="99"/>
    <w:unhideWhenUsed/>
    <w:rsid w:val="00FB7D0D"/>
    <w:pPr>
      <w:tabs>
        <w:tab w:val="center" w:pos="4819"/>
        <w:tab w:val="right" w:pos="9638"/>
      </w:tabs>
    </w:pPr>
  </w:style>
  <w:style w:type="character" w:customStyle="1" w:styleId="SidefodTegn">
    <w:name w:val="Sidefod Tegn"/>
    <w:basedOn w:val="Standardskrifttypeiafsnit"/>
    <w:link w:val="Sidefod"/>
    <w:uiPriority w:val="99"/>
    <w:rsid w:val="00FB7D0D"/>
  </w:style>
  <w:style w:type="paragraph" w:styleId="Korrektur">
    <w:name w:val="Revision"/>
    <w:hidden/>
    <w:uiPriority w:val="99"/>
    <w:semiHidden/>
    <w:rsid w:val="001A4367"/>
  </w:style>
  <w:style w:type="character" w:styleId="Kommentarhenvisning">
    <w:name w:val="annotation reference"/>
    <w:basedOn w:val="Standardskrifttypeiafsnit"/>
    <w:uiPriority w:val="99"/>
    <w:semiHidden/>
    <w:unhideWhenUsed/>
    <w:rsid w:val="001A4367"/>
    <w:rPr>
      <w:sz w:val="16"/>
      <w:szCs w:val="16"/>
    </w:rPr>
  </w:style>
  <w:style w:type="paragraph" w:styleId="Kommentartekst">
    <w:name w:val="annotation text"/>
    <w:basedOn w:val="Normal"/>
    <w:link w:val="KommentartekstTegn"/>
    <w:uiPriority w:val="99"/>
    <w:semiHidden/>
    <w:unhideWhenUsed/>
    <w:rsid w:val="001A4367"/>
  </w:style>
  <w:style w:type="character" w:customStyle="1" w:styleId="KommentartekstTegn">
    <w:name w:val="Kommentartekst Tegn"/>
    <w:basedOn w:val="Standardskrifttypeiafsnit"/>
    <w:link w:val="Kommentartekst"/>
    <w:uiPriority w:val="99"/>
    <w:semiHidden/>
    <w:rsid w:val="001A4367"/>
  </w:style>
  <w:style w:type="paragraph" w:styleId="Kommentaremne">
    <w:name w:val="annotation subject"/>
    <w:basedOn w:val="Kommentartekst"/>
    <w:next w:val="Kommentartekst"/>
    <w:link w:val="KommentaremneTegn"/>
    <w:uiPriority w:val="99"/>
    <w:semiHidden/>
    <w:unhideWhenUsed/>
    <w:rsid w:val="001A4367"/>
    <w:rPr>
      <w:b/>
      <w:bCs/>
    </w:rPr>
  </w:style>
  <w:style w:type="character" w:customStyle="1" w:styleId="KommentaremneTegn">
    <w:name w:val="Kommentaremne Tegn"/>
    <w:basedOn w:val="KommentartekstTegn"/>
    <w:link w:val="Kommentaremne"/>
    <w:uiPriority w:val="99"/>
    <w:semiHidden/>
    <w:rsid w:val="001A43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60E59-2911-4D0B-A184-BADA70E80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776</Words>
  <Characters>4735</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Lene Marie  Andreasen</cp:lastModifiedBy>
  <cp:revision>2</cp:revision>
  <dcterms:created xsi:type="dcterms:W3CDTF">2026-08-28T08:45:00Z</dcterms:created>
  <dcterms:modified xsi:type="dcterms:W3CDTF">2026-08-28T08:45:00Z</dcterms:modified>
</cp:coreProperties>
</file>