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C2D" w14:textId="09423944" w:rsidR="00F951E0" w:rsidRDefault="00684697" w:rsidP="0062176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39E5D" wp14:editId="14914811">
                <wp:simplePos x="0" y="0"/>
                <wp:positionH relativeFrom="page">
                  <wp:posOffset>651053</wp:posOffset>
                </wp:positionH>
                <wp:positionV relativeFrom="page">
                  <wp:posOffset>1522832</wp:posOffset>
                </wp:positionV>
                <wp:extent cx="6448425" cy="8308797"/>
                <wp:effectExtent l="0" t="0" r="9525" b="0"/>
                <wp:wrapSquare wrapText="bothSides"/>
                <wp:docPr id="1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308797"/>
                        </a:xfrm>
                        <a:prstGeom prst="rect">
                          <a:avLst/>
                        </a:prstGeom>
                        <a:solidFill>
                          <a:srgbClr val="96A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9E4C" w14:textId="77777777" w:rsidR="00FD4457" w:rsidRDefault="00F951E0" w:rsidP="00F951E0">
                            <w:pPr>
                              <w:pStyle w:val="CISUoverskriftansgningsskema"/>
                            </w:pPr>
                            <w:bookmarkStart w:id="0" w:name="_Hlk36809034"/>
                            <w:bookmarkStart w:id="1" w:name="_Hlk36809035"/>
                            <w:bookmarkStart w:id="2" w:name="_Hlk36809060"/>
                            <w:bookmarkStart w:id="3" w:name="_Hlk36809061"/>
                            <w:r w:rsidRPr="00F951E0">
                              <w:t xml:space="preserve">Format </w:t>
                            </w:r>
                          </w:p>
                          <w:p w14:paraId="0839FE4A" w14:textId="62A3DD1D" w:rsidR="00F951E0" w:rsidRPr="00684697" w:rsidRDefault="00F951E0" w:rsidP="00F951E0">
                            <w:pPr>
                              <w:pStyle w:val="CISUoverskriftansgningsskema"/>
                              <w:rPr>
                                <w:lang w:val="en-US"/>
                              </w:rPr>
                            </w:pPr>
                            <w:r w:rsidRPr="00684697">
                              <w:rPr>
                                <w:lang w:val="en-US"/>
                              </w:rPr>
                              <w:t>track record document</w:t>
                            </w:r>
                            <w:r w:rsidR="00FD4457" w:rsidRPr="00684697">
                              <w:rPr>
                                <w:lang w:val="en-US"/>
                              </w:rPr>
                              <w:t xml:space="preserve"> (TRD)</w:t>
                            </w:r>
                          </w:p>
                          <w:p w14:paraId="3EB6E41B" w14:textId="036F7D71" w:rsidR="00F951E0" w:rsidRPr="00F951E0" w:rsidRDefault="00F951E0" w:rsidP="00F951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Track </w:t>
                            </w:r>
                            <w:proofErr w:type="spellStart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Record</w:t>
                            </w:r>
                            <w:proofErr w:type="spellEnd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okumentet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(TRD) </w:t>
                            </w:r>
                            <w:r w:rsidR="00B166E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bidrager til at sætte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fokus på de områder (styrker og udfordringer), der har kendetegnet ansøgerens indsatser og partnerskaber de seneste år.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TRD 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indgå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som bilag til ansøgningen.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TRD 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udarbejdes af den rådgiver, der er </w:t>
                            </w:r>
                            <w:proofErr w:type="spellStart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lead</w:t>
                            </w:r>
                            <w:proofErr w:type="spellEnd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ift. det påtænkte program, og suppleret af andre rådgivere involveret </w:t>
                            </w:r>
                            <w:r w:rsidR="00B166E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samt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forvaltningskonsulenter. </w:t>
                            </w:r>
                          </w:p>
                          <w:p w14:paraId="26BA6C3C" w14:textId="4E0196CA" w:rsidR="00F951E0" w:rsidRPr="00F951E0" w:rsidRDefault="00FD4457" w:rsidP="00FD445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TRD</w:t>
                            </w:r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udarbejdes som led i den dialog</w:t>
                            </w:r>
                            <w:r w:rsidR="00E1772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der er mellem CISU og ansøger i</w:t>
                            </w:r>
                            <w:r w:rsidR="00DC1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forbindelse med ansøgningsprocessen</w:t>
                            </w:r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Alle ansøgere til programmer har haft en række tidligere udviklingsindsatser finansieret af Civilsamfundspuljen og/eller af Danida. Dermed foreligger der en række ansøgninger, BU-notater, statusrapporter, afsluttende rapporter samt eventuelle tilsynsrapporter, svarbreve på rapporteringer, </w:t>
                            </w:r>
                            <w:proofErr w:type="spellStart"/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reviews</w:t>
                            </w:r>
                            <w:proofErr w:type="spellEnd"/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og evalueringer fra ansøgers tidligere indsatser. Denne dokumentation behøver ikke begrænse sig til erfaringer knyttet til Danida/Civilsamfundspulje bevillinger, men kan også være dokumenter</w:t>
                            </w:r>
                            <w:r w:rsidR="00DC1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F951E0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der behandler ansøgers øvrige indsatser med relevans for deres udviklingsarbejde - og dermed for deres programstrategi. </w:t>
                            </w:r>
                          </w:p>
                          <w:p w14:paraId="58D6FB95" w14:textId="6C86AFFE" w:rsidR="00F951E0" w:rsidRPr="00F951E0" w:rsidRDefault="00F951E0" w:rsidP="00F951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Når en ansøger ønsker at overgå til </w:t>
                            </w:r>
                            <w:r w:rsidR="00FD4457"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program,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vil disse erfaringer naturligt indgå som led i den erfaringshorisont og kapacitet en ansøger bygger sin programansøgning på. Tilsammen udgør disse dokumenter en organisations </w:t>
                            </w:r>
                            <w:r w:rsidR="008B4CFF">
                              <w:rPr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FD4457" w:rsidRPr="00FD4457">
                              <w:rPr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rack </w:t>
                            </w:r>
                            <w:proofErr w:type="spellStart"/>
                            <w:r w:rsidR="008B4CFF">
                              <w:rPr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FD4457" w:rsidRPr="00FD4457">
                              <w:rPr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ecord</w:t>
                            </w:r>
                            <w:proofErr w:type="spellEnd"/>
                            <w:r w:rsidR="00FD4457" w:rsidRPr="00FD4457">
                              <w:rPr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7E6F66" w14:textId="2A5538FD" w:rsidR="00F951E0" w:rsidRPr="00F951E0" w:rsidRDefault="00F951E0" w:rsidP="00F951E0">
                            <w:pPr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 forbindelse med en programansøgning vil CISU lave et </w:t>
                            </w:r>
                            <w:r w:rsidR="00FD445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TRD. 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Dette er en opsamling på emner</w:t>
                            </w:r>
                            <w:r w:rsidR="00694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der har været behandlet i de dokumenter</w:t>
                            </w:r>
                            <w:r w:rsidR="006947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der udgør organisationens </w:t>
                            </w:r>
                            <w:r w:rsidR="00EF28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rack </w:t>
                            </w:r>
                            <w:proofErr w:type="spellStart"/>
                            <w:r w:rsidR="00EF28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ecord</w:t>
                            </w:r>
                            <w:proofErr w:type="spellEnd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TRD sammenfatter ansøgers relation til bevilgende myndighed (CISU, </w:t>
                            </w:r>
                            <w:r w:rsidR="00CF71DA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U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denrigsministeriet, EU el.lign.). Der er altså ikke tale om en samlet vurdering af ansøgers bredere kapacitet</w:t>
                            </w:r>
                            <w:r w:rsidR="00977F84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F84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Dette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foretages af </w:t>
                            </w:r>
                            <w:r w:rsidR="00F37542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ekstern konsulent ifm. </w:t>
                            </w:r>
                            <w:r w:rsidR="002D6449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ap</w:t>
                            </w:r>
                            <w:r w:rsidR="002D6449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acitetsanalyse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proofErr w:type="spellStart"/>
                            <w:r w:rsidR="00FD4457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review</w:t>
                            </w:r>
                            <w:proofErr w:type="spellEnd"/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 TRD skal således ikke ’forklare’, hvorfor noget har været tilfredsstillende</w:t>
                            </w:r>
                            <w:r w:rsidR="00FD4457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mangelfuldt eller komme med forslag/anbefalinger til tiltag, der kan rette op på konstaterede mangler.</w:t>
                            </w:r>
                          </w:p>
                          <w:p w14:paraId="6F8487F3" w14:textId="77777777" w:rsidR="00F951E0" w:rsidRPr="00F951E0" w:rsidRDefault="00F951E0" w:rsidP="00F951E0">
                            <w:pPr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TRD skal sikre, at der foretages en sammenfattende vurdering af, hvordan ansøger har efterlevet krav, der er opstillet i forbindelse med forvaltning af midler bevilget til at gennemføre udviklingsaktiviteter. TRD skal belyse om:</w:t>
                            </w:r>
                          </w:p>
                          <w:p w14:paraId="4A6064B2" w14:textId="179079F8" w:rsidR="00F951E0" w:rsidRPr="00F951E0" w:rsidRDefault="00F951E0" w:rsidP="00FD4457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 w:val="0"/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Der er fremsendt </w:t>
                            </w:r>
                            <w:r w:rsidRPr="00F951E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fyldestgørende dokumentation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6310A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 ansøgningsmaterialet omfattet al information, der forudsættes at være til stede for at bedømme ansøgningen, og har den løbende narrative og finansielle rapportering efterlevet de opstillede krav, </w:t>
                            </w:r>
                            <w:r w:rsidR="00827B55"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så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det kan konstateres, om bevillingsgrundlaget er efterlevet</w:t>
                            </w:r>
                          </w:p>
                          <w:p w14:paraId="6F03DE66" w14:textId="77777777" w:rsidR="00F951E0" w:rsidRPr="00F951E0" w:rsidRDefault="00F951E0" w:rsidP="00FD4457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 w:val="0"/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Deadlines og andre proceskrav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 overholdt i forbindelse med ansøgning om og forvaltning af tilskudsmidler</w:t>
                            </w:r>
                          </w:p>
                          <w:p w14:paraId="2D554DA6" w14:textId="37026F68" w:rsidR="002766F1" w:rsidRDefault="00F951E0" w:rsidP="00F951E0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 w:val="0"/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Der har været en </w:t>
                            </w:r>
                            <w:r w:rsidRPr="00F951E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tilfredsstillende dialog</w:t>
                            </w:r>
                            <w:r w:rsidRPr="00F951E0"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mellem ansøger og bevilgende myndighed i forbindelse med forberedelse, gennemførelse og afrapportering</w:t>
                            </w:r>
                          </w:p>
                          <w:p w14:paraId="4E7B61AC" w14:textId="77777777" w:rsidR="00E9492E" w:rsidRPr="003068A1" w:rsidRDefault="00E9492E" w:rsidP="00E9492E">
                            <w:pPr>
                              <w:pStyle w:val="Listeafsnit"/>
                              <w:spacing w:after="0" w:line="240" w:lineRule="auto"/>
                              <w:contextualSpacing w:val="0"/>
                              <w:rPr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DD22B8" w14:textId="1DC9B928" w:rsidR="00F951E0" w:rsidRPr="00F951E0" w:rsidRDefault="00F951E0" w:rsidP="00F951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TRD er derfor en opsummering af kendt viden, og skal dels fungere som en hjælp til</w:t>
                            </w:r>
                            <w:r w:rsidR="005F21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at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den eksterne konsulent</w:t>
                            </w:r>
                            <w:r w:rsidR="005F21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der skal foretage </w:t>
                            </w:r>
                            <w:proofErr w:type="spellStart"/>
                            <w:r w:rsidR="00827B5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</w:t>
                            </w:r>
                            <w:r w:rsidR="00DC1F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</w:t>
                            </w:r>
                            <w:proofErr w:type="spellEnd"/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proofErr w:type="spellStart"/>
                            <w:r w:rsidR="00DC1F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FD445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eview</w:t>
                            </w:r>
                            <w:proofErr w:type="spellEnd"/>
                            <w:r w:rsidR="005F21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kan lægge et så fokuseret og relevant blik i vurderingen af ansøgers kapacitet</w:t>
                            </w:r>
                            <w:r w:rsidR="001002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F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samt 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indgå i vurderingsgrundlaget for </w:t>
                            </w:r>
                            <w:r w:rsidR="00FD445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Pr="00F951E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evillingssystemet.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</w:txbxContent>
                      </wps:txbx>
                      <wps:bodyPr rot="0" vert="horz" wrap="square" lIns="288000" tIns="288000" rIns="288000" bIns="28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9E5D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1.25pt;margin-top:119.9pt;width:507.75pt;height:6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9+9QEAANEDAAAOAAAAZHJzL2Uyb0RvYy54bWysU8tu2zAQvBfoPxC815Id11EEy4HrNEWB&#10;9AGk/QCKoh4oxWWXtCX367OkHKdub0UvBJdLzu7MDte3Y6/ZQaHrwBR8Pks5U0ZC1Zmm4N+/3b/J&#10;OHNemEpoMKrgR+X47eb1q/Vgc7WAFnSlkBGIcflgC956b/MkcbJVvXAzsMpQsgbshacQm6RCMRB6&#10;r5NFmq6SAbCyCFI5R6d3U5JvIn5dK+m/1LVTnumCU28+rhjXMqzJZi3yBoVtO3lqQ/xDF73oDBU9&#10;Q90JL9geu7+g+k4iOKj9TEKfQF13UkUOxGae/sHmsRVWRS4kjrNnmdz/g5WfD4/2KzI/voORBhhJ&#10;OPsA8odjBnatMI3aIsLQKlFR4XmQLBmsy09Pg9QudwGkHD5BRUMWew8RaKyxD6oQT0boNIDjWXQ1&#10;eibpcLVcZsvFW84k5bKrNLu+uY41RP783KLzHxT0LGwKjjTVCC8OD86HdkT+fCVUc6C76r7TOgbY&#10;lDuN7CDIATer7erq/Qn94po24bKB8GxCDCeRZ6A2kfRjOVIy8C2hOhJjhMlR9ANo0wL+4mwgNxXc&#10;/dwLVJzpj4ZUW2RZmgb/XUR4EZUXkTCS4AouPXI2BTs/GXdvsWtaqjdNy8CW9K67qMRLb6fuyTdR&#10;oJPHgzF/j+Otl5+4eQIAAP//AwBQSwMEFAAGAAgAAAAhAH/2/WHfAAAADQEAAA8AAABkcnMvZG93&#10;bnJldi54bWxMj01OwzAQhfdI3MEaJHbUSUpRGuJUCMGCDSiFA7jxEEeNxyF20nB7piu6m6f59H7K&#10;3eJ6MeMYOk8K0lUCAqnxpqNWwdfn610OIkRNRveeUMEvBthV11elLow/UY3zPraCTSgUWoGNcSik&#10;DI1Fp8PKD0j8+/aj05Hl2Eoz6hObu15mSfIgne6IE6we8Nlic9xPTkGsmyn7CfSmX+qhPS7pbN+3&#10;H0rd3ixPjyAiLvEfhnN9rg4Vdzr4iUwQPesk2zCqIFtvecOZSNOc5x342tzna5BVKS9XVH8AAAD/&#10;/wMAUEsBAi0AFAAGAAgAAAAhALaDOJL+AAAA4QEAABMAAAAAAAAAAAAAAAAAAAAAAFtDb250ZW50&#10;X1R5cGVzXS54bWxQSwECLQAUAAYACAAAACEAOP0h/9YAAACUAQAACwAAAAAAAAAAAAAAAAAvAQAA&#10;X3JlbHMvLnJlbHNQSwECLQAUAAYACAAAACEAZtrvfvUBAADRAwAADgAAAAAAAAAAAAAAAAAuAgAA&#10;ZHJzL2Uyb0RvYy54bWxQSwECLQAUAAYACAAAACEAf/b9Yd8AAAANAQAADwAAAAAAAAAAAAAAAABP&#10;BAAAZHJzL2Rvd25yZXYueG1sUEsFBgAAAAAEAAQA8wAAAFsFAAAAAA==&#10;" fillcolor="#96a63e" stroked="f" strokeweight=".5pt">
                <v:textbox inset="8mm,8mm,8mm,8mm">
                  <w:txbxContent>
                    <w:p w14:paraId="5FE39E4C" w14:textId="77777777" w:rsidR="00FD4457" w:rsidRDefault="00F951E0" w:rsidP="00F951E0">
                      <w:pPr>
                        <w:pStyle w:val="CISUoverskriftansgningsskema"/>
                      </w:pPr>
                      <w:bookmarkStart w:id="4" w:name="_Hlk36809034"/>
                      <w:bookmarkStart w:id="5" w:name="_Hlk36809035"/>
                      <w:bookmarkStart w:id="6" w:name="_Hlk36809060"/>
                      <w:bookmarkStart w:id="7" w:name="_Hlk36809061"/>
                      <w:r w:rsidRPr="00F951E0">
                        <w:t xml:space="preserve">Format </w:t>
                      </w:r>
                    </w:p>
                    <w:p w14:paraId="0839FE4A" w14:textId="62A3DD1D" w:rsidR="00F951E0" w:rsidRPr="00684697" w:rsidRDefault="00F951E0" w:rsidP="00F951E0">
                      <w:pPr>
                        <w:pStyle w:val="CISUoverskriftansgningsskema"/>
                        <w:rPr>
                          <w:lang w:val="en-US"/>
                        </w:rPr>
                      </w:pPr>
                      <w:r w:rsidRPr="00684697">
                        <w:rPr>
                          <w:lang w:val="en-US"/>
                        </w:rPr>
                        <w:t>track record document</w:t>
                      </w:r>
                      <w:r w:rsidR="00FD4457" w:rsidRPr="00684697">
                        <w:rPr>
                          <w:lang w:val="en-US"/>
                        </w:rPr>
                        <w:t xml:space="preserve"> (TRD)</w:t>
                      </w:r>
                    </w:p>
                    <w:p w14:paraId="3EB6E41B" w14:textId="036F7D71" w:rsidR="00F951E0" w:rsidRPr="00F951E0" w:rsidRDefault="00F951E0" w:rsidP="00F951E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Track </w:t>
                      </w:r>
                      <w:proofErr w:type="spellStart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Record</w:t>
                      </w:r>
                      <w:proofErr w:type="spellEnd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okumentet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(TRD) </w:t>
                      </w:r>
                      <w:r w:rsidR="00B166E1">
                        <w:rPr>
                          <w:color w:val="FFFFFF" w:themeColor="background1"/>
                          <w:sz w:val="20"/>
                          <w:szCs w:val="20"/>
                        </w:rPr>
                        <w:t>bidrager til at sætte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fokus på de områder (styrker og udfordringer), der har kendetegnet ansøgerens indsatser og partnerskaber de seneste år.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TRD 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indgå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som bilag til ansøgningen.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TRD 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udarbejdes af den rådgiver, der er </w:t>
                      </w:r>
                      <w:proofErr w:type="spellStart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lead</w:t>
                      </w:r>
                      <w:proofErr w:type="spellEnd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ift. det påtænkte program, og suppleret af andre rådgivere involveret </w:t>
                      </w:r>
                      <w:r w:rsidR="00B166E1">
                        <w:rPr>
                          <w:color w:val="FFFFFF" w:themeColor="background1"/>
                          <w:sz w:val="20"/>
                          <w:szCs w:val="20"/>
                        </w:rPr>
                        <w:t>samt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forvaltningskonsulenter. </w:t>
                      </w:r>
                    </w:p>
                    <w:p w14:paraId="26BA6C3C" w14:textId="4E0196CA" w:rsidR="00F951E0" w:rsidRPr="00F951E0" w:rsidRDefault="00FD4457" w:rsidP="00FD445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TRD</w:t>
                      </w:r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udarbejdes som led i den dialog</w:t>
                      </w:r>
                      <w:r w:rsidR="00E1772B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der er mellem CISU og ansøger i</w:t>
                      </w:r>
                      <w:r w:rsidR="00DC1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forbindelse med ansøgningsprocessen</w:t>
                      </w:r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Alle ansøgere til programmer har haft en række tidligere udviklingsindsatser finansieret af Civilsamfundspuljen og/eller af Danida. Dermed foreligger der en række ansøgninger, BU-notater, statusrapporter, afsluttende rapporter samt eventuelle tilsynsrapporter, svarbreve på rapporteringer, </w:t>
                      </w:r>
                      <w:proofErr w:type="spellStart"/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reviews</w:t>
                      </w:r>
                      <w:proofErr w:type="spellEnd"/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og evalueringer fra ansøgers tidligere indsatser. Denne dokumentation behøver ikke begrænse sig til erfaringer knyttet til Danida/Civilsamfundspulje bevillinger, men kan også være dokumenter</w:t>
                      </w:r>
                      <w:r w:rsidR="00DC10E4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F951E0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der behandler ansøgers øvrige indsatser med relevans for deres udviklingsarbejde - og dermed for deres programstrategi. </w:t>
                      </w:r>
                    </w:p>
                    <w:p w14:paraId="58D6FB95" w14:textId="6C86AFFE" w:rsidR="00F951E0" w:rsidRPr="00F951E0" w:rsidRDefault="00F951E0" w:rsidP="00F951E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Når en ansøger ønsker at overgå til </w:t>
                      </w:r>
                      <w:r w:rsidR="00FD4457"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program,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vil disse erfaringer naturligt indgå som led i den erfaringshorisont og kapacitet en ansøger bygger sin programansøgning på. Tilsammen udgør disse dokumenter en organisations </w:t>
                      </w:r>
                      <w:r w:rsidR="008B4CFF">
                        <w:rPr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FD4457" w:rsidRPr="00FD4457">
                        <w:rPr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rack </w:t>
                      </w:r>
                      <w:proofErr w:type="spellStart"/>
                      <w:r w:rsidR="008B4CFF">
                        <w:rPr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FD4457" w:rsidRPr="00FD4457">
                        <w:rPr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ecord</w:t>
                      </w:r>
                      <w:proofErr w:type="spellEnd"/>
                      <w:r w:rsidR="00FD4457" w:rsidRPr="00FD4457">
                        <w:rPr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A7E6F66" w14:textId="2A5538FD" w:rsidR="00F951E0" w:rsidRPr="00F951E0" w:rsidRDefault="00F951E0" w:rsidP="00F951E0">
                      <w:pPr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 forbindelse med en programansøgning vil CISU lave et </w:t>
                      </w:r>
                      <w:r w:rsidR="00FD445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TRD. 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Dette er en opsamling på emner</w:t>
                      </w:r>
                      <w:r w:rsidR="00694794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der har været behandlet i de dokumenter</w:t>
                      </w:r>
                      <w:r w:rsidR="00694794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der udgør organisationens </w:t>
                      </w:r>
                      <w:r w:rsidR="00EF28F7">
                        <w:rPr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rack </w:t>
                      </w:r>
                      <w:proofErr w:type="spellStart"/>
                      <w:r w:rsidR="00EF28F7">
                        <w:rPr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ecord</w:t>
                      </w:r>
                      <w:proofErr w:type="spellEnd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TRD sammenfatter ansøgers relation til bevilgende myndighed (CISU, </w:t>
                      </w:r>
                      <w:r w:rsidR="00CF71DA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U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denrigsministeriet, EU el.lign.). Der er altså ikke tale om en samlet vurdering af ansøgers bredere kapacitet</w:t>
                      </w:r>
                      <w:r w:rsidR="00977F84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77F84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Dette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foretages af </w:t>
                      </w:r>
                      <w:r w:rsidR="00F37542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en 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ekstern konsulent ifm. </w:t>
                      </w:r>
                      <w:r w:rsidR="002D6449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ap</w:t>
                      </w:r>
                      <w:r w:rsidR="002D6449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acitetsanalyse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eller </w:t>
                      </w:r>
                      <w:proofErr w:type="spellStart"/>
                      <w:r w:rsidR="00FD4457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review</w:t>
                      </w:r>
                      <w:proofErr w:type="spellEnd"/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. TRD skal således ikke ’forklare’, hvorfor noget har været tilfredsstillende</w:t>
                      </w:r>
                      <w:r w:rsidR="00FD4457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mangelfuldt eller komme med forslag/anbefalinger til tiltag, der kan rette op på konstaterede mangler.</w:t>
                      </w:r>
                    </w:p>
                    <w:p w14:paraId="6F8487F3" w14:textId="77777777" w:rsidR="00F951E0" w:rsidRPr="00F951E0" w:rsidRDefault="00F951E0" w:rsidP="00F951E0">
                      <w:pPr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TRD skal sikre, at der foretages en sammenfattende vurdering af, hvordan ansøger har efterlevet krav, der er opstillet i forbindelse med forvaltning af midler bevilget til at gennemføre udviklingsaktiviteter. TRD skal belyse om:</w:t>
                      </w:r>
                    </w:p>
                    <w:p w14:paraId="4A6064B2" w14:textId="179079F8" w:rsidR="00F951E0" w:rsidRPr="00F951E0" w:rsidRDefault="00F951E0" w:rsidP="00FD4457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 w:val="0"/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Der er fremsendt </w:t>
                      </w:r>
                      <w:r w:rsidRPr="00F951E0">
                        <w:rPr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fyldestgørende dokumentation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D6310A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ar ansøgningsmaterialet omfattet al information, der forudsættes at være til stede for at bedømme ansøgningen, og har den løbende narrative og finansielle rapportering efterlevet de opstillede krav, </w:t>
                      </w:r>
                      <w:r w:rsidR="00827B55"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>så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det kan konstateres, om bevillingsgrundlaget er efterlevet</w:t>
                      </w:r>
                    </w:p>
                    <w:p w14:paraId="6F03DE66" w14:textId="77777777" w:rsidR="00F951E0" w:rsidRPr="00F951E0" w:rsidRDefault="00F951E0" w:rsidP="00FD4457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 w:val="0"/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Deadlines og andre proceskrav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er overholdt i forbindelse med ansøgning om og forvaltning af tilskudsmidler</w:t>
                      </w:r>
                    </w:p>
                    <w:p w14:paraId="2D554DA6" w14:textId="37026F68" w:rsidR="002766F1" w:rsidRDefault="00F951E0" w:rsidP="00F951E0">
                      <w:pPr>
                        <w:pStyle w:val="Listeafsnit"/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 w:val="0"/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Der har været en </w:t>
                      </w:r>
                      <w:r w:rsidRPr="00F951E0">
                        <w:rPr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>tilfredsstillende dialog</w:t>
                      </w:r>
                      <w:r w:rsidRPr="00F951E0"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mellem ansøger og bevilgende myndighed i forbindelse med forberedelse, gennemførelse og afrapportering</w:t>
                      </w:r>
                    </w:p>
                    <w:p w14:paraId="4E7B61AC" w14:textId="77777777" w:rsidR="00E9492E" w:rsidRPr="003068A1" w:rsidRDefault="00E9492E" w:rsidP="00E9492E">
                      <w:pPr>
                        <w:pStyle w:val="Listeafsnit"/>
                        <w:spacing w:after="0" w:line="240" w:lineRule="auto"/>
                        <w:contextualSpacing w:val="0"/>
                        <w:rPr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3DD22B8" w14:textId="1DC9B928" w:rsidR="00F951E0" w:rsidRPr="00F951E0" w:rsidRDefault="00F951E0" w:rsidP="00F951E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TRD er derfor en opsummering af kendt viden, og skal dels fungere som en hjælp til</w:t>
                      </w:r>
                      <w:r w:rsidR="005F2131">
                        <w:rPr>
                          <w:color w:val="FFFFFF" w:themeColor="background1"/>
                          <w:sz w:val="20"/>
                          <w:szCs w:val="20"/>
                        </w:rPr>
                        <w:t>, at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den eksterne konsulent</w:t>
                      </w:r>
                      <w:r w:rsidR="005F2131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der skal foretage </w:t>
                      </w:r>
                      <w:proofErr w:type="spellStart"/>
                      <w:r w:rsidR="00827B55">
                        <w:rPr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ap</w:t>
                      </w:r>
                      <w:r w:rsidR="00DC1F5C">
                        <w:rPr>
                          <w:color w:val="FFFFFF" w:themeColor="background1"/>
                          <w:sz w:val="20"/>
                          <w:szCs w:val="20"/>
                        </w:rPr>
                        <w:t>Pro</w:t>
                      </w:r>
                      <w:proofErr w:type="spellEnd"/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eller </w:t>
                      </w:r>
                      <w:proofErr w:type="spellStart"/>
                      <w:r w:rsidR="00DC1F5C">
                        <w:rPr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FD4457">
                        <w:rPr>
                          <w:color w:val="FFFFFF" w:themeColor="background1"/>
                          <w:sz w:val="20"/>
                          <w:szCs w:val="20"/>
                        </w:rPr>
                        <w:t>eview</w:t>
                      </w:r>
                      <w:proofErr w:type="spellEnd"/>
                      <w:r w:rsidR="005F2131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kan lægge et så fokuseret og relevant blik i vurderingen af ansøgers kapacitet</w:t>
                      </w:r>
                      <w:r w:rsidR="001002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42F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samt 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indgå i vurderingsgrundlaget for </w:t>
                      </w:r>
                      <w:r w:rsidR="00FD4457">
                        <w:rPr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Pr="00F951E0">
                        <w:rPr>
                          <w:color w:val="FFFFFF" w:themeColor="background1"/>
                          <w:sz w:val="20"/>
                          <w:szCs w:val="20"/>
                        </w:rPr>
                        <w:t>evillingssystemet.</w:t>
                      </w:r>
                    </w:p>
                    <w:bookmarkEnd w:id="4"/>
                    <w:bookmarkEnd w:id="5"/>
                    <w:bookmarkEnd w:id="6"/>
                    <w:bookmarkEnd w:id="7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676"/>
        <w:gridCol w:w="979"/>
        <w:gridCol w:w="754"/>
        <w:gridCol w:w="905"/>
        <w:gridCol w:w="738"/>
        <w:gridCol w:w="1001"/>
        <w:gridCol w:w="1307"/>
        <w:gridCol w:w="1062"/>
      </w:tblGrid>
      <w:tr w:rsidR="00D53BDD" w14:paraId="6DE576BB" w14:textId="77777777" w:rsidTr="00BE70A7">
        <w:tc>
          <w:tcPr>
            <w:tcW w:w="9544" w:type="dxa"/>
            <w:gridSpan w:val="9"/>
          </w:tcPr>
          <w:p w14:paraId="4E495241" w14:textId="69B8E051" w:rsidR="00D53BDD" w:rsidRPr="00A9303A" w:rsidRDefault="00A9303A">
            <w:pPr>
              <w:rPr>
                <w:b/>
              </w:rPr>
            </w:pPr>
            <w:r w:rsidRPr="006D556B">
              <w:rPr>
                <w:b/>
                <w:sz w:val="28"/>
              </w:rPr>
              <w:lastRenderedPageBreak/>
              <w:t>1. Dansk organisation</w:t>
            </w:r>
          </w:p>
        </w:tc>
      </w:tr>
      <w:tr w:rsidR="00A9303A" w14:paraId="478A2E0D" w14:textId="77777777" w:rsidTr="00BE70A7">
        <w:tc>
          <w:tcPr>
            <w:tcW w:w="9544" w:type="dxa"/>
            <w:gridSpan w:val="9"/>
          </w:tcPr>
          <w:p w14:paraId="1708CC16" w14:textId="77777777" w:rsidR="00A9303A" w:rsidRPr="00A9303A" w:rsidRDefault="00A9303A" w:rsidP="00D53BDD">
            <w:r w:rsidRPr="00A9303A">
              <w:t xml:space="preserve">Navn: </w:t>
            </w:r>
          </w:p>
        </w:tc>
      </w:tr>
      <w:tr w:rsidR="00BE70A7" w14:paraId="7E56BC89" w14:textId="77777777" w:rsidTr="00BE70A7">
        <w:tc>
          <w:tcPr>
            <w:tcW w:w="2122" w:type="dxa"/>
          </w:tcPr>
          <w:p w14:paraId="10F74DC0" w14:textId="77777777" w:rsidR="00C53D58" w:rsidRPr="00A9303A" w:rsidRDefault="00C53D58">
            <w:r>
              <w:t>Bevillinger</w:t>
            </w:r>
            <w:r w:rsidRPr="00A9303A">
              <w:t xml:space="preserve"> fra CSP seneste </w:t>
            </w:r>
            <w:r>
              <w:t>3</w:t>
            </w:r>
            <w:r w:rsidRPr="00A9303A">
              <w:t xml:space="preserve"> år: </w:t>
            </w:r>
          </w:p>
        </w:tc>
        <w:tc>
          <w:tcPr>
            <w:tcW w:w="676" w:type="dxa"/>
          </w:tcPr>
          <w:p w14:paraId="69BC2E2F" w14:textId="5ED6AF67" w:rsidR="00C53D58" w:rsidRPr="00A9303A" w:rsidRDefault="00C53D58">
            <w:r>
              <w:t>20</w:t>
            </w:r>
            <w:r w:rsidR="00BE70A7">
              <w:t>20</w:t>
            </w:r>
          </w:p>
        </w:tc>
        <w:tc>
          <w:tcPr>
            <w:tcW w:w="979" w:type="dxa"/>
          </w:tcPr>
          <w:p w14:paraId="1B157C32" w14:textId="59FB4994" w:rsidR="00C53D58" w:rsidRPr="00A9303A" w:rsidRDefault="00C53D58">
            <w:r>
              <w:t xml:space="preserve">0,0 </w:t>
            </w:r>
            <w:proofErr w:type="spellStart"/>
            <w:r>
              <w:t>mio</w:t>
            </w:r>
            <w:proofErr w:type="spellEnd"/>
          </w:p>
        </w:tc>
        <w:tc>
          <w:tcPr>
            <w:tcW w:w="754" w:type="dxa"/>
          </w:tcPr>
          <w:p w14:paraId="224A4AFB" w14:textId="78442945" w:rsidR="00C53D58" w:rsidRPr="00A9303A" w:rsidRDefault="00C53D58">
            <w:r>
              <w:t>2</w:t>
            </w:r>
            <w:r w:rsidR="00BE70A7">
              <w:t>021</w:t>
            </w:r>
          </w:p>
        </w:tc>
        <w:tc>
          <w:tcPr>
            <w:tcW w:w="905" w:type="dxa"/>
          </w:tcPr>
          <w:p w14:paraId="172B373C" w14:textId="77777777" w:rsidR="00C53D58" w:rsidRPr="00A9303A" w:rsidRDefault="00C53D58">
            <w:r>
              <w:t xml:space="preserve">0,0 </w:t>
            </w:r>
            <w:proofErr w:type="spellStart"/>
            <w:r>
              <w:t>mio</w:t>
            </w:r>
            <w:proofErr w:type="spellEnd"/>
          </w:p>
        </w:tc>
        <w:tc>
          <w:tcPr>
            <w:tcW w:w="738" w:type="dxa"/>
          </w:tcPr>
          <w:p w14:paraId="6FF2A72D" w14:textId="4FE8219B" w:rsidR="00C53D58" w:rsidRPr="00A9303A" w:rsidRDefault="00BE70A7">
            <w:r>
              <w:t>2022</w:t>
            </w:r>
          </w:p>
        </w:tc>
        <w:tc>
          <w:tcPr>
            <w:tcW w:w="1001" w:type="dxa"/>
          </w:tcPr>
          <w:p w14:paraId="4B0453E5" w14:textId="77777777" w:rsidR="00C53D58" w:rsidRPr="00A9303A" w:rsidRDefault="00C53D58">
            <w:r>
              <w:t xml:space="preserve">0,0 </w:t>
            </w:r>
            <w:proofErr w:type="spellStart"/>
            <w:r>
              <w:t>mio</w:t>
            </w:r>
            <w:proofErr w:type="spellEnd"/>
          </w:p>
        </w:tc>
        <w:tc>
          <w:tcPr>
            <w:tcW w:w="1307" w:type="dxa"/>
          </w:tcPr>
          <w:p w14:paraId="00135D6C" w14:textId="77777777" w:rsidR="00C53D58" w:rsidRPr="00A9303A" w:rsidRDefault="00C53D58">
            <w:r>
              <w:t>Gennemsnit</w:t>
            </w:r>
          </w:p>
        </w:tc>
        <w:tc>
          <w:tcPr>
            <w:tcW w:w="1062" w:type="dxa"/>
          </w:tcPr>
          <w:p w14:paraId="01F3BAED" w14:textId="77777777" w:rsidR="00C53D58" w:rsidRPr="00A9303A" w:rsidRDefault="00C53D58">
            <w:r>
              <w:t xml:space="preserve">0,0 </w:t>
            </w:r>
            <w:proofErr w:type="spellStart"/>
            <w:r>
              <w:t>mio</w:t>
            </w:r>
            <w:proofErr w:type="spellEnd"/>
          </w:p>
        </w:tc>
      </w:tr>
      <w:tr w:rsidR="006647B7" w14:paraId="6CA73FCD" w14:textId="77777777" w:rsidTr="00BE70A7">
        <w:tc>
          <w:tcPr>
            <w:tcW w:w="9544" w:type="dxa"/>
            <w:gridSpan w:val="9"/>
          </w:tcPr>
          <w:p w14:paraId="608BC23B" w14:textId="77777777" w:rsidR="006647B7" w:rsidRDefault="006647B7">
            <w:r w:rsidRPr="006D556B">
              <w:rPr>
                <w:b/>
                <w:sz w:val="28"/>
              </w:rPr>
              <w:t xml:space="preserve">2. Overblik </w:t>
            </w:r>
          </w:p>
        </w:tc>
      </w:tr>
      <w:tr w:rsidR="006647B7" w14:paraId="3E9F8AE0" w14:textId="77777777" w:rsidTr="00BE70A7">
        <w:tc>
          <w:tcPr>
            <w:tcW w:w="9544" w:type="dxa"/>
            <w:gridSpan w:val="9"/>
          </w:tcPr>
          <w:p w14:paraId="67478AAA" w14:textId="77777777" w:rsidR="006647B7" w:rsidRPr="006D556B" w:rsidRDefault="007031A8" w:rsidP="007031A8">
            <w:pPr>
              <w:rPr>
                <w:b/>
                <w:i/>
              </w:rPr>
            </w:pPr>
            <w:r w:rsidRPr="006D556B">
              <w:rPr>
                <w:b/>
                <w:i/>
              </w:rPr>
              <w:t>2.a. Partnerskaber og lande i seneste 5 år</w:t>
            </w:r>
          </w:p>
        </w:tc>
      </w:tr>
      <w:tr w:rsidR="007031A8" w14:paraId="345D3439" w14:textId="77777777" w:rsidTr="00BE70A7">
        <w:tc>
          <w:tcPr>
            <w:tcW w:w="9544" w:type="dxa"/>
            <w:gridSpan w:val="9"/>
          </w:tcPr>
          <w:p w14:paraId="099F9B87" w14:textId="77777777" w:rsidR="007031A8" w:rsidRDefault="007031A8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7522"/>
            </w:tblGrid>
            <w:tr w:rsidR="00F951E0" w14:paraId="1AE2CC68" w14:textId="77777777">
              <w:tc>
                <w:tcPr>
                  <w:tcW w:w="1830" w:type="dxa"/>
                </w:tcPr>
                <w:p w14:paraId="4B1E4FF3" w14:textId="77777777" w:rsidR="00557A24" w:rsidRPr="00116098" w:rsidRDefault="00557A24">
                  <w:pPr>
                    <w:rPr>
                      <w:b/>
                    </w:rPr>
                  </w:pPr>
                  <w:r w:rsidRPr="00116098">
                    <w:rPr>
                      <w:b/>
                    </w:rPr>
                    <w:t>Land</w:t>
                  </w:r>
                </w:p>
              </w:tc>
              <w:tc>
                <w:tcPr>
                  <w:tcW w:w="7722" w:type="dxa"/>
                </w:tcPr>
                <w:p w14:paraId="64EE092C" w14:textId="77777777" w:rsidR="00557A24" w:rsidRPr="00116098" w:rsidRDefault="00557A24">
                  <w:pPr>
                    <w:rPr>
                      <w:b/>
                    </w:rPr>
                  </w:pPr>
                  <w:r w:rsidRPr="00116098">
                    <w:rPr>
                      <w:b/>
                    </w:rPr>
                    <w:t>Partner</w:t>
                  </w:r>
                </w:p>
              </w:tc>
            </w:tr>
            <w:tr w:rsidR="00F951E0" w:rsidRPr="00872AB7" w14:paraId="4532E01E" w14:textId="77777777">
              <w:tc>
                <w:tcPr>
                  <w:tcW w:w="1830" w:type="dxa"/>
                </w:tcPr>
                <w:p w14:paraId="09C86915" w14:textId="77777777" w:rsidR="00557A24" w:rsidRDefault="00557A24"/>
              </w:tc>
              <w:tc>
                <w:tcPr>
                  <w:tcW w:w="7722" w:type="dxa"/>
                </w:tcPr>
                <w:p w14:paraId="6874000D" w14:textId="77777777" w:rsidR="00557A24" w:rsidRPr="00116098" w:rsidRDefault="00557A24">
                  <w:pPr>
                    <w:pStyle w:val="Listeafsnit"/>
                    <w:numPr>
                      <w:ilvl w:val="0"/>
                      <w:numId w:val="16"/>
                    </w:numPr>
                  </w:pPr>
                </w:p>
              </w:tc>
            </w:tr>
            <w:tr w:rsidR="00F951E0" w:rsidRPr="00D809FD" w14:paraId="17797F56" w14:textId="77777777">
              <w:tc>
                <w:tcPr>
                  <w:tcW w:w="1830" w:type="dxa"/>
                </w:tcPr>
                <w:p w14:paraId="4BCCC03B" w14:textId="77777777" w:rsidR="00557A24" w:rsidRDefault="00557A24"/>
              </w:tc>
              <w:tc>
                <w:tcPr>
                  <w:tcW w:w="7722" w:type="dxa"/>
                </w:tcPr>
                <w:p w14:paraId="08F76F67" w14:textId="77777777" w:rsidR="00557A24" w:rsidRPr="00267B4C" w:rsidRDefault="00557A24">
                  <w:pPr>
                    <w:pStyle w:val="Listeafsnit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</w:p>
              </w:tc>
            </w:tr>
            <w:tr w:rsidR="00F951E0" w:rsidRPr="00D809FD" w14:paraId="36F5EA9F" w14:textId="77777777">
              <w:tc>
                <w:tcPr>
                  <w:tcW w:w="1830" w:type="dxa"/>
                </w:tcPr>
                <w:p w14:paraId="2B16D392" w14:textId="77777777" w:rsidR="00557A24" w:rsidRDefault="00557A24"/>
              </w:tc>
              <w:tc>
                <w:tcPr>
                  <w:tcW w:w="7722" w:type="dxa"/>
                </w:tcPr>
                <w:p w14:paraId="25BF4CE6" w14:textId="77777777" w:rsidR="00557A24" w:rsidRPr="00267B4C" w:rsidRDefault="00557A24">
                  <w:pPr>
                    <w:pStyle w:val="Listeafsnit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</w:p>
              </w:tc>
            </w:tr>
          </w:tbl>
          <w:p w14:paraId="1336B227" w14:textId="77777777" w:rsidR="007031A8" w:rsidRDefault="007031A8"/>
        </w:tc>
      </w:tr>
      <w:tr w:rsidR="006D556B" w14:paraId="537FA080" w14:textId="77777777" w:rsidTr="00BE70A7">
        <w:tc>
          <w:tcPr>
            <w:tcW w:w="9544" w:type="dxa"/>
            <w:gridSpan w:val="9"/>
          </w:tcPr>
          <w:p w14:paraId="76A92F11" w14:textId="0841FB12" w:rsidR="006D556B" w:rsidRDefault="006D556B">
            <w:r w:rsidRPr="006D556B">
              <w:rPr>
                <w:b/>
                <w:i/>
              </w:rPr>
              <w:t>2.b.</w:t>
            </w:r>
            <w:r w:rsidR="002B4276">
              <w:rPr>
                <w:b/>
                <w:i/>
              </w:rPr>
              <w:t>H</w:t>
            </w:r>
            <w:r w:rsidRPr="006D556B">
              <w:rPr>
                <w:b/>
                <w:i/>
              </w:rPr>
              <w:t>vilke ansøgninger (afslag og godkendte) fra de sidste tre år knytter sig til disse:</w:t>
            </w:r>
          </w:p>
        </w:tc>
      </w:tr>
      <w:tr w:rsidR="006D556B" w14:paraId="68E4D999" w14:textId="77777777" w:rsidTr="00BE70A7">
        <w:tc>
          <w:tcPr>
            <w:tcW w:w="9544" w:type="dxa"/>
            <w:gridSpan w:val="9"/>
          </w:tcPr>
          <w:p w14:paraId="623D3C1E" w14:textId="77777777" w:rsidR="006D556B" w:rsidRDefault="006D556B">
            <w:r>
              <w:t xml:space="preserve">GODKENDTE: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362"/>
              <w:gridCol w:w="2363"/>
              <w:gridCol w:w="2238"/>
            </w:tblGrid>
            <w:tr w:rsidR="00F951E0" w14:paraId="653130D9" w14:textId="77777777" w:rsidTr="006D556B">
              <w:tc>
                <w:tcPr>
                  <w:tcW w:w="2405" w:type="dxa"/>
                </w:tcPr>
                <w:p w14:paraId="62384122" w14:textId="77777777" w:rsidR="006D556B" w:rsidRDefault="006D556B">
                  <w:r>
                    <w:t xml:space="preserve">J.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2406" w:type="dxa"/>
                </w:tcPr>
                <w:p w14:paraId="2327A752" w14:textId="77777777" w:rsidR="006D556B" w:rsidRDefault="006D556B">
                  <w:r>
                    <w:t>Titel</w:t>
                  </w:r>
                </w:p>
              </w:tc>
              <w:tc>
                <w:tcPr>
                  <w:tcW w:w="2406" w:type="dxa"/>
                </w:tcPr>
                <w:p w14:paraId="434AB2D4" w14:textId="77777777" w:rsidR="006D556B" w:rsidRDefault="006D556B">
                  <w:r>
                    <w:t>Type</w:t>
                  </w:r>
                </w:p>
              </w:tc>
              <w:tc>
                <w:tcPr>
                  <w:tcW w:w="2276" w:type="dxa"/>
                </w:tcPr>
                <w:p w14:paraId="23BB5824" w14:textId="77777777" w:rsidR="006D556B" w:rsidRDefault="006D556B">
                  <w:r>
                    <w:t>Beløb</w:t>
                  </w:r>
                </w:p>
              </w:tc>
            </w:tr>
            <w:tr w:rsidR="00F951E0" w14:paraId="469F354B" w14:textId="77777777" w:rsidTr="006D556B">
              <w:tc>
                <w:tcPr>
                  <w:tcW w:w="2405" w:type="dxa"/>
                </w:tcPr>
                <w:p w14:paraId="2B2BD185" w14:textId="77777777" w:rsidR="006D556B" w:rsidRDefault="006D556B"/>
              </w:tc>
              <w:tc>
                <w:tcPr>
                  <w:tcW w:w="2406" w:type="dxa"/>
                </w:tcPr>
                <w:p w14:paraId="4B11A93E" w14:textId="77777777" w:rsidR="006D556B" w:rsidRDefault="006D556B"/>
              </w:tc>
              <w:tc>
                <w:tcPr>
                  <w:tcW w:w="2406" w:type="dxa"/>
                </w:tcPr>
                <w:p w14:paraId="7F9685C3" w14:textId="77777777" w:rsidR="006D556B" w:rsidRDefault="006D556B"/>
              </w:tc>
              <w:tc>
                <w:tcPr>
                  <w:tcW w:w="2276" w:type="dxa"/>
                </w:tcPr>
                <w:p w14:paraId="4C968CAA" w14:textId="77777777" w:rsidR="006D556B" w:rsidRDefault="006D556B"/>
              </w:tc>
            </w:tr>
          </w:tbl>
          <w:p w14:paraId="64CC486C" w14:textId="77777777" w:rsidR="006D556B" w:rsidRDefault="006D556B"/>
          <w:p w14:paraId="0C0350B2" w14:textId="471EEB9F" w:rsidR="006D556B" w:rsidRDefault="006D556B">
            <w:r>
              <w:t>AFVIST pga</w:t>
            </w:r>
            <w:r w:rsidR="002B4276">
              <w:t>.</w:t>
            </w:r>
            <w:r>
              <w:t xml:space="preserve"> FOR FÅ MIDLER: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362"/>
              <w:gridCol w:w="2363"/>
              <w:gridCol w:w="2238"/>
            </w:tblGrid>
            <w:tr w:rsidR="00F951E0" w14:paraId="491D0C01" w14:textId="77777777">
              <w:tc>
                <w:tcPr>
                  <w:tcW w:w="2405" w:type="dxa"/>
                </w:tcPr>
                <w:p w14:paraId="763B80FF" w14:textId="77777777" w:rsidR="006D556B" w:rsidRDefault="006D556B">
                  <w:r>
                    <w:t xml:space="preserve">J.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2406" w:type="dxa"/>
                </w:tcPr>
                <w:p w14:paraId="63D0A9A6" w14:textId="77777777" w:rsidR="006D556B" w:rsidRDefault="006D556B">
                  <w:r>
                    <w:t>Titel</w:t>
                  </w:r>
                </w:p>
              </w:tc>
              <w:tc>
                <w:tcPr>
                  <w:tcW w:w="2406" w:type="dxa"/>
                </w:tcPr>
                <w:p w14:paraId="57093E9D" w14:textId="77777777" w:rsidR="006D556B" w:rsidRDefault="006D556B">
                  <w:r>
                    <w:t>Type</w:t>
                  </w:r>
                </w:p>
              </w:tc>
              <w:tc>
                <w:tcPr>
                  <w:tcW w:w="2276" w:type="dxa"/>
                </w:tcPr>
                <w:p w14:paraId="18B3E9CD" w14:textId="77777777" w:rsidR="006D556B" w:rsidRDefault="006D556B">
                  <w:r>
                    <w:t>Beløb</w:t>
                  </w:r>
                </w:p>
              </w:tc>
            </w:tr>
            <w:tr w:rsidR="00F951E0" w14:paraId="61CA442F" w14:textId="77777777">
              <w:tc>
                <w:tcPr>
                  <w:tcW w:w="2405" w:type="dxa"/>
                </w:tcPr>
                <w:p w14:paraId="7A62547B" w14:textId="77777777" w:rsidR="006D556B" w:rsidRDefault="006D556B"/>
              </w:tc>
              <w:tc>
                <w:tcPr>
                  <w:tcW w:w="2406" w:type="dxa"/>
                </w:tcPr>
                <w:p w14:paraId="294FF5E2" w14:textId="77777777" w:rsidR="006D556B" w:rsidRDefault="006D556B"/>
              </w:tc>
              <w:tc>
                <w:tcPr>
                  <w:tcW w:w="2406" w:type="dxa"/>
                </w:tcPr>
                <w:p w14:paraId="7B98BB09" w14:textId="77777777" w:rsidR="006D556B" w:rsidRDefault="006D556B"/>
              </w:tc>
              <w:tc>
                <w:tcPr>
                  <w:tcW w:w="2276" w:type="dxa"/>
                </w:tcPr>
                <w:p w14:paraId="2D4C439A" w14:textId="77777777" w:rsidR="006D556B" w:rsidRDefault="006D556B"/>
              </w:tc>
            </w:tr>
          </w:tbl>
          <w:p w14:paraId="27A6A5BA" w14:textId="77777777" w:rsidR="006D556B" w:rsidRDefault="006D556B"/>
          <w:p w14:paraId="3F30A491" w14:textId="77777777" w:rsidR="006D556B" w:rsidRDefault="006D556B">
            <w:r>
              <w:t>AFVISTE: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362"/>
              <w:gridCol w:w="2363"/>
              <w:gridCol w:w="2238"/>
            </w:tblGrid>
            <w:tr w:rsidR="00F951E0" w14:paraId="07CA3154" w14:textId="77777777" w:rsidTr="006D556B">
              <w:tc>
                <w:tcPr>
                  <w:tcW w:w="2405" w:type="dxa"/>
                </w:tcPr>
                <w:p w14:paraId="482619E7" w14:textId="77777777" w:rsidR="006D556B" w:rsidRDefault="006D556B">
                  <w:r>
                    <w:t xml:space="preserve">J.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2406" w:type="dxa"/>
                </w:tcPr>
                <w:p w14:paraId="78BC9AD7" w14:textId="77777777" w:rsidR="006D556B" w:rsidRDefault="006D556B">
                  <w:r>
                    <w:t>Titel</w:t>
                  </w:r>
                </w:p>
              </w:tc>
              <w:tc>
                <w:tcPr>
                  <w:tcW w:w="2406" w:type="dxa"/>
                </w:tcPr>
                <w:p w14:paraId="768D27D5" w14:textId="77777777" w:rsidR="006D556B" w:rsidRDefault="006D556B">
                  <w:r>
                    <w:t>Type</w:t>
                  </w:r>
                </w:p>
              </w:tc>
              <w:tc>
                <w:tcPr>
                  <w:tcW w:w="2276" w:type="dxa"/>
                </w:tcPr>
                <w:p w14:paraId="203E0ECA" w14:textId="77777777" w:rsidR="006D556B" w:rsidRDefault="006D556B">
                  <w:r>
                    <w:t>Beløb</w:t>
                  </w:r>
                </w:p>
              </w:tc>
            </w:tr>
            <w:tr w:rsidR="00F951E0" w14:paraId="71E3E987" w14:textId="77777777" w:rsidTr="006D556B">
              <w:tc>
                <w:tcPr>
                  <w:tcW w:w="2405" w:type="dxa"/>
                </w:tcPr>
                <w:p w14:paraId="72D3241A" w14:textId="77777777" w:rsidR="006D556B" w:rsidRDefault="006D556B"/>
              </w:tc>
              <w:tc>
                <w:tcPr>
                  <w:tcW w:w="2406" w:type="dxa"/>
                </w:tcPr>
                <w:p w14:paraId="291CE951" w14:textId="77777777" w:rsidR="006D556B" w:rsidRDefault="006D556B"/>
              </w:tc>
              <w:tc>
                <w:tcPr>
                  <w:tcW w:w="2406" w:type="dxa"/>
                </w:tcPr>
                <w:p w14:paraId="552F833E" w14:textId="77777777" w:rsidR="006D556B" w:rsidRDefault="006D556B"/>
              </w:tc>
              <w:tc>
                <w:tcPr>
                  <w:tcW w:w="2276" w:type="dxa"/>
                </w:tcPr>
                <w:p w14:paraId="1ACAD1EB" w14:textId="77777777" w:rsidR="006D556B" w:rsidRDefault="006D556B"/>
              </w:tc>
            </w:tr>
          </w:tbl>
          <w:p w14:paraId="4F82D2FB" w14:textId="77777777" w:rsidR="006D556B" w:rsidRDefault="006D556B" w:rsidP="006D556B"/>
        </w:tc>
      </w:tr>
      <w:tr w:rsidR="007031A8" w14:paraId="7FA334B8" w14:textId="77777777" w:rsidTr="00BE70A7">
        <w:tc>
          <w:tcPr>
            <w:tcW w:w="9544" w:type="dxa"/>
            <w:gridSpan w:val="9"/>
          </w:tcPr>
          <w:p w14:paraId="2E7CAA6F" w14:textId="25ADD6D2" w:rsidR="007031A8" w:rsidRDefault="007031A8" w:rsidP="006D556B">
            <w:r w:rsidRPr="006D556B">
              <w:rPr>
                <w:b/>
                <w:i/>
              </w:rPr>
              <w:t>2.</w:t>
            </w:r>
            <w:r w:rsidR="006D556B" w:rsidRPr="006D556B">
              <w:rPr>
                <w:b/>
                <w:i/>
              </w:rPr>
              <w:t>c</w:t>
            </w:r>
            <w:r w:rsidRPr="006D556B">
              <w:rPr>
                <w:b/>
                <w:i/>
              </w:rPr>
              <w:t>. Hvilke lande og partnerskaber er tænkt videreført i program</w:t>
            </w:r>
            <w:r w:rsidR="00FC567D">
              <w:rPr>
                <w:b/>
                <w:i/>
              </w:rPr>
              <w:t>met</w:t>
            </w:r>
            <w:r w:rsidRPr="006D556B">
              <w:rPr>
                <w:b/>
                <w:i/>
              </w:rPr>
              <w:t>:</w:t>
            </w:r>
          </w:p>
        </w:tc>
      </w:tr>
      <w:tr w:rsidR="006647B7" w14:paraId="6BEADEBB" w14:textId="77777777" w:rsidTr="00BE70A7">
        <w:tc>
          <w:tcPr>
            <w:tcW w:w="9544" w:type="dxa"/>
            <w:gridSpan w:val="9"/>
          </w:tcPr>
          <w:p w14:paraId="332A733A" w14:textId="77777777" w:rsidR="006647B7" w:rsidRDefault="006647B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7522"/>
            </w:tblGrid>
            <w:tr w:rsidR="00F951E0" w14:paraId="09B2F4A6" w14:textId="77777777">
              <w:tc>
                <w:tcPr>
                  <w:tcW w:w="1830" w:type="dxa"/>
                </w:tcPr>
                <w:p w14:paraId="7E933FA0" w14:textId="77777777" w:rsidR="00557A24" w:rsidRPr="00116098" w:rsidRDefault="00557A24">
                  <w:pPr>
                    <w:rPr>
                      <w:b/>
                    </w:rPr>
                  </w:pPr>
                  <w:r w:rsidRPr="00116098">
                    <w:rPr>
                      <w:b/>
                    </w:rPr>
                    <w:t>Land</w:t>
                  </w:r>
                </w:p>
              </w:tc>
              <w:tc>
                <w:tcPr>
                  <w:tcW w:w="7722" w:type="dxa"/>
                </w:tcPr>
                <w:p w14:paraId="71FCC8DF" w14:textId="77777777" w:rsidR="00557A24" w:rsidRPr="00116098" w:rsidRDefault="00557A24">
                  <w:pPr>
                    <w:rPr>
                      <w:b/>
                    </w:rPr>
                  </w:pPr>
                  <w:r w:rsidRPr="00116098">
                    <w:rPr>
                      <w:b/>
                    </w:rPr>
                    <w:t>Partner</w:t>
                  </w:r>
                </w:p>
              </w:tc>
            </w:tr>
            <w:tr w:rsidR="00F951E0" w:rsidRPr="00872AB7" w14:paraId="04AB2AD7" w14:textId="77777777">
              <w:tc>
                <w:tcPr>
                  <w:tcW w:w="1830" w:type="dxa"/>
                </w:tcPr>
                <w:p w14:paraId="31602B7E" w14:textId="77777777" w:rsidR="00557A24" w:rsidRDefault="00557A24"/>
              </w:tc>
              <w:tc>
                <w:tcPr>
                  <w:tcW w:w="7722" w:type="dxa"/>
                </w:tcPr>
                <w:p w14:paraId="51715A89" w14:textId="77777777" w:rsidR="00557A24" w:rsidRPr="00116098" w:rsidRDefault="00557A24">
                  <w:pPr>
                    <w:pStyle w:val="Listeafsnit"/>
                    <w:numPr>
                      <w:ilvl w:val="0"/>
                      <w:numId w:val="16"/>
                    </w:numPr>
                  </w:pPr>
                </w:p>
              </w:tc>
            </w:tr>
            <w:tr w:rsidR="00F951E0" w:rsidRPr="00D809FD" w14:paraId="0CD39C82" w14:textId="77777777">
              <w:tc>
                <w:tcPr>
                  <w:tcW w:w="1830" w:type="dxa"/>
                </w:tcPr>
                <w:p w14:paraId="35973141" w14:textId="77777777" w:rsidR="00557A24" w:rsidRDefault="00557A24"/>
              </w:tc>
              <w:tc>
                <w:tcPr>
                  <w:tcW w:w="7722" w:type="dxa"/>
                </w:tcPr>
                <w:p w14:paraId="04495878" w14:textId="77777777" w:rsidR="00557A24" w:rsidRPr="00267B4C" w:rsidRDefault="00557A24">
                  <w:pPr>
                    <w:pStyle w:val="Listeafsnit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</w:p>
              </w:tc>
            </w:tr>
            <w:tr w:rsidR="00F951E0" w:rsidRPr="00D809FD" w14:paraId="2BA3625D" w14:textId="77777777">
              <w:tc>
                <w:tcPr>
                  <w:tcW w:w="1830" w:type="dxa"/>
                </w:tcPr>
                <w:p w14:paraId="2D27E173" w14:textId="77777777" w:rsidR="00557A24" w:rsidRDefault="00557A24"/>
              </w:tc>
              <w:tc>
                <w:tcPr>
                  <w:tcW w:w="7722" w:type="dxa"/>
                </w:tcPr>
                <w:p w14:paraId="6E00B16C" w14:textId="77777777" w:rsidR="00557A24" w:rsidRPr="00267B4C" w:rsidRDefault="00557A24">
                  <w:pPr>
                    <w:pStyle w:val="Listeafsnit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</w:p>
              </w:tc>
            </w:tr>
          </w:tbl>
          <w:p w14:paraId="36015371" w14:textId="77777777" w:rsidR="00F82A17" w:rsidRDefault="00F82A17"/>
        </w:tc>
      </w:tr>
      <w:tr w:rsidR="00E57990" w14:paraId="4E858201" w14:textId="77777777" w:rsidTr="00BE70A7">
        <w:tc>
          <w:tcPr>
            <w:tcW w:w="9544" w:type="dxa"/>
            <w:gridSpan w:val="9"/>
          </w:tcPr>
          <w:p w14:paraId="2C6F8D1E" w14:textId="77777777" w:rsidR="00E57990" w:rsidRDefault="00E57990">
            <w:r w:rsidRPr="006D556B">
              <w:rPr>
                <w:b/>
                <w:sz w:val="28"/>
              </w:rPr>
              <w:t>3. Fra bevillingssystemet</w:t>
            </w:r>
          </w:p>
        </w:tc>
      </w:tr>
      <w:tr w:rsidR="00E57990" w14:paraId="108CA63B" w14:textId="77777777" w:rsidTr="00BE70A7">
        <w:tc>
          <w:tcPr>
            <w:tcW w:w="9544" w:type="dxa"/>
            <w:gridSpan w:val="9"/>
          </w:tcPr>
          <w:p w14:paraId="72D92C7D" w14:textId="77777777" w:rsidR="00E57990" w:rsidRDefault="00E57990">
            <w:r w:rsidRPr="006D556B">
              <w:rPr>
                <w:b/>
                <w:i/>
              </w:rPr>
              <w:t>3</w:t>
            </w:r>
            <w:r w:rsidR="006D556B">
              <w:rPr>
                <w:b/>
                <w:i/>
              </w:rPr>
              <w:t>.</w:t>
            </w:r>
            <w:r w:rsidRPr="006D556B">
              <w:rPr>
                <w:b/>
                <w:i/>
              </w:rPr>
              <w:t>a</w:t>
            </w:r>
            <w:r w:rsidR="006D556B">
              <w:rPr>
                <w:b/>
                <w:i/>
              </w:rPr>
              <w:t>.</w:t>
            </w:r>
            <w:r w:rsidRPr="006D556B">
              <w:rPr>
                <w:b/>
                <w:i/>
              </w:rPr>
              <w:t xml:space="preserve"> Gode råd fra ovennævnte ansøgninger</w:t>
            </w:r>
          </w:p>
        </w:tc>
      </w:tr>
      <w:tr w:rsidR="00E57990" w14:paraId="3CC54336" w14:textId="77777777" w:rsidTr="00BE70A7">
        <w:tc>
          <w:tcPr>
            <w:tcW w:w="9544" w:type="dxa"/>
            <w:gridSpan w:val="9"/>
          </w:tcPr>
          <w:p w14:paraId="7ED1F1C8" w14:textId="77777777" w:rsidR="00E57990" w:rsidRDefault="00E57990"/>
          <w:p w14:paraId="57358961" w14:textId="77777777" w:rsidR="00E57990" w:rsidRDefault="00E57990"/>
          <w:p w14:paraId="3BE434AA" w14:textId="77777777" w:rsidR="00E57990" w:rsidRDefault="00E57990"/>
        </w:tc>
      </w:tr>
      <w:tr w:rsidR="00E57990" w14:paraId="6382460E" w14:textId="77777777" w:rsidTr="00BE70A7">
        <w:tc>
          <w:tcPr>
            <w:tcW w:w="9544" w:type="dxa"/>
            <w:gridSpan w:val="9"/>
          </w:tcPr>
          <w:p w14:paraId="76B04635" w14:textId="77777777" w:rsidR="00E57990" w:rsidRDefault="00E57990">
            <w:r w:rsidRPr="006D556B">
              <w:rPr>
                <w:b/>
                <w:i/>
              </w:rPr>
              <w:t>3</w:t>
            </w:r>
            <w:r w:rsidR="006D556B">
              <w:rPr>
                <w:b/>
                <w:i/>
              </w:rPr>
              <w:t>.</w:t>
            </w:r>
            <w:r w:rsidRPr="006D556B">
              <w:rPr>
                <w:b/>
                <w:i/>
              </w:rPr>
              <w:t>b</w:t>
            </w:r>
            <w:r w:rsidR="006D556B">
              <w:rPr>
                <w:b/>
                <w:i/>
              </w:rPr>
              <w:t>.</w:t>
            </w:r>
            <w:r w:rsidRPr="006D556B">
              <w:rPr>
                <w:b/>
                <w:i/>
              </w:rPr>
              <w:t xml:space="preserve"> Eventuelle afslagsbegrundelser fra ovennævnte ansøgninger</w:t>
            </w:r>
          </w:p>
        </w:tc>
      </w:tr>
      <w:tr w:rsidR="00E57990" w14:paraId="7243A709" w14:textId="77777777" w:rsidTr="00BE70A7">
        <w:tc>
          <w:tcPr>
            <w:tcW w:w="9544" w:type="dxa"/>
            <w:gridSpan w:val="9"/>
          </w:tcPr>
          <w:p w14:paraId="17C66905" w14:textId="77777777" w:rsidR="00E57990" w:rsidRDefault="00E57990"/>
          <w:p w14:paraId="31B7A7CE" w14:textId="77777777" w:rsidR="00E57990" w:rsidRDefault="00E57990"/>
          <w:p w14:paraId="6DAD4C25" w14:textId="77777777" w:rsidR="00E57990" w:rsidRDefault="00E57990"/>
          <w:p w14:paraId="2C4F1E21" w14:textId="77777777" w:rsidR="00E57990" w:rsidRDefault="00E57990"/>
        </w:tc>
      </w:tr>
    </w:tbl>
    <w:p w14:paraId="149D9761" w14:textId="77777777" w:rsidR="00FD4457" w:rsidRDefault="00FD4457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7B7" w14:paraId="50D52038" w14:textId="77777777" w:rsidTr="00D53BDD">
        <w:tc>
          <w:tcPr>
            <w:tcW w:w="9778" w:type="dxa"/>
          </w:tcPr>
          <w:p w14:paraId="286BF650" w14:textId="7A736E73" w:rsidR="006647B7" w:rsidRDefault="00E57990" w:rsidP="00A63760">
            <w:r w:rsidRPr="006D556B">
              <w:rPr>
                <w:b/>
                <w:sz w:val="28"/>
              </w:rPr>
              <w:lastRenderedPageBreak/>
              <w:t>4</w:t>
            </w:r>
            <w:r w:rsidR="006647B7" w:rsidRPr="006D556B">
              <w:rPr>
                <w:b/>
                <w:sz w:val="28"/>
              </w:rPr>
              <w:t xml:space="preserve">. Fra </w:t>
            </w:r>
            <w:r w:rsidR="005D3C9E" w:rsidRPr="006D556B">
              <w:rPr>
                <w:b/>
                <w:sz w:val="28"/>
              </w:rPr>
              <w:t xml:space="preserve">seneste eksterne </w:t>
            </w:r>
            <w:proofErr w:type="spellStart"/>
            <w:r w:rsidR="005D3C9E" w:rsidRPr="006D556B">
              <w:rPr>
                <w:b/>
                <w:sz w:val="28"/>
              </w:rPr>
              <w:t>reviews</w:t>
            </w:r>
            <w:proofErr w:type="spellEnd"/>
            <w:r w:rsidR="005D3C9E" w:rsidRPr="006D556B">
              <w:rPr>
                <w:b/>
                <w:sz w:val="28"/>
              </w:rPr>
              <w:t>/analyser</w:t>
            </w:r>
            <w:r w:rsidR="007031A8" w:rsidRPr="006D556B">
              <w:rPr>
                <w:b/>
                <w:sz w:val="28"/>
              </w:rPr>
              <w:t xml:space="preserve">/tilsyn </w:t>
            </w:r>
            <w:r w:rsidR="00607F9A" w:rsidRPr="006D556B">
              <w:rPr>
                <w:b/>
                <w:sz w:val="28"/>
              </w:rPr>
              <w:t xml:space="preserve">indenfor </w:t>
            </w:r>
            <w:r w:rsidR="009570DD">
              <w:rPr>
                <w:b/>
                <w:sz w:val="28"/>
              </w:rPr>
              <w:t xml:space="preserve">seneste </w:t>
            </w:r>
            <w:r w:rsidR="007031A8" w:rsidRPr="006D556B">
              <w:rPr>
                <w:b/>
                <w:sz w:val="28"/>
              </w:rPr>
              <w:t>3-5</w:t>
            </w:r>
            <w:r w:rsidR="00607F9A" w:rsidRPr="006D556B">
              <w:rPr>
                <w:b/>
                <w:sz w:val="28"/>
              </w:rPr>
              <w:t xml:space="preserve"> år</w:t>
            </w:r>
            <w:r w:rsidR="005D3C9E" w:rsidRPr="006D556B">
              <w:rPr>
                <w:b/>
                <w:sz w:val="28"/>
              </w:rPr>
              <w:t xml:space="preserve">: </w:t>
            </w:r>
          </w:p>
        </w:tc>
      </w:tr>
      <w:tr w:rsidR="00A946DD" w14:paraId="79A53E71" w14:textId="77777777" w:rsidTr="00D53BDD">
        <w:tc>
          <w:tcPr>
            <w:tcW w:w="9778" w:type="dxa"/>
          </w:tcPr>
          <w:p w14:paraId="1B41F749" w14:textId="77777777" w:rsidR="00A946DD" w:rsidRPr="006D556B" w:rsidRDefault="006D556B" w:rsidP="005D3C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946DD" w:rsidRPr="006D556B">
              <w:rPr>
                <w:b/>
                <w:i/>
              </w:rPr>
              <w:t>.a</w:t>
            </w:r>
            <w:r w:rsidR="00607F9A" w:rsidRPr="006D556B">
              <w:rPr>
                <w:b/>
                <w:i/>
              </w:rPr>
              <w:t>.</w:t>
            </w:r>
            <w:r w:rsidR="00A946DD" w:rsidRPr="006D556B">
              <w:rPr>
                <w:b/>
                <w:i/>
              </w:rPr>
              <w:t xml:space="preserve"> Liste over relevante </w:t>
            </w:r>
            <w:proofErr w:type="spellStart"/>
            <w:r w:rsidR="00A946DD" w:rsidRPr="006D556B">
              <w:rPr>
                <w:b/>
                <w:i/>
              </w:rPr>
              <w:t>reviews</w:t>
            </w:r>
            <w:proofErr w:type="spellEnd"/>
            <w:r w:rsidR="00A946DD" w:rsidRPr="006D556B">
              <w:rPr>
                <w:b/>
                <w:i/>
              </w:rPr>
              <w:t>/analyser</w:t>
            </w:r>
          </w:p>
          <w:p w14:paraId="4CB8776C" w14:textId="77777777" w:rsidR="00A946DD" w:rsidRDefault="00A946DD" w:rsidP="005D3C9E"/>
          <w:p w14:paraId="5BCA4426" w14:textId="77777777" w:rsidR="0095369C" w:rsidRDefault="0095369C" w:rsidP="005D3C9E"/>
        </w:tc>
      </w:tr>
      <w:tr w:rsidR="006647B7" w14:paraId="2944B853" w14:textId="77777777" w:rsidTr="00D53BDD">
        <w:tc>
          <w:tcPr>
            <w:tcW w:w="9778" w:type="dxa"/>
          </w:tcPr>
          <w:p w14:paraId="535970AE" w14:textId="77777777" w:rsidR="006647B7" w:rsidRDefault="006D556B" w:rsidP="0095369C">
            <w:r w:rsidRPr="006D556B">
              <w:rPr>
                <w:b/>
                <w:i/>
              </w:rPr>
              <w:t>4</w:t>
            </w:r>
            <w:r w:rsidR="00607F9A" w:rsidRPr="006D556B">
              <w:rPr>
                <w:b/>
                <w:i/>
              </w:rPr>
              <w:t>.</w:t>
            </w:r>
            <w:r w:rsidR="0095369C" w:rsidRPr="006D556B">
              <w:rPr>
                <w:b/>
                <w:i/>
              </w:rPr>
              <w:t>b</w:t>
            </w:r>
            <w:r w:rsidR="00607F9A" w:rsidRPr="006D556B">
              <w:rPr>
                <w:b/>
                <w:i/>
              </w:rPr>
              <w:t>.</w:t>
            </w:r>
            <w:r w:rsidR="006647B7" w:rsidRPr="006D556B">
              <w:rPr>
                <w:b/>
                <w:i/>
              </w:rPr>
              <w:t xml:space="preserve"> </w:t>
            </w:r>
            <w:r w:rsidR="0095369C" w:rsidRPr="006D556B">
              <w:rPr>
                <w:b/>
                <w:i/>
              </w:rPr>
              <w:t>Centrale a</w:t>
            </w:r>
            <w:r w:rsidR="005D3C9E" w:rsidRPr="006D556B">
              <w:rPr>
                <w:b/>
                <w:i/>
              </w:rPr>
              <w:t>nbefalinger</w:t>
            </w:r>
            <w:r w:rsidR="005D3C9E">
              <w:t xml:space="preserve"> </w:t>
            </w:r>
          </w:p>
        </w:tc>
      </w:tr>
      <w:tr w:rsidR="006647B7" w14:paraId="395AFBA0" w14:textId="77777777" w:rsidTr="00D53BDD">
        <w:tc>
          <w:tcPr>
            <w:tcW w:w="9778" w:type="dxa"/>
          </w:tcPr>
          <w:p w14:paraId="4C601E52" w14:textId="77777777" w:rsidR="006647B7" w:rsidRDefault="006647B7" w:rsidP="006647B7"/>
          <w:p w14:paraId="1E780549" w14:textId="77777777" w:rsidR="006647B7" w:rsidRDefault="006647B7" w:rsidP="006647B7"/>
          <w:p w14:paraId="7D6F7EA8" w14:textId="77777777" w:rsidR="006647B7" w:rsidRDefault="006647B7" w:rsidP="006647B7"/>
        </w:tc>
      </w:tr>
      <w:tr w:rsidR="006647B7" w14:paraId="6866069B" w14:textId="77777777" w:rsidTr="00D53BDD">
        <w:tc>
          <w:tcPr>
            <w:tcW w:w="9778" w:type="dxa"/>
          </w:tcPr>
          <w:p w14:paraId="7274080E" w14:textId="206326BF" w:rsidR="006647B7" w:rsidRDefault="00E57990" w:rsidP="007031A8">
            <w:r w:rsidRPr="006D556B">
              <w:rPr>
                <w:b/>
                <w:sz w:val="28"/>
              </w:rPr>
              <w:t>5</w:t>
            </w:r>
            <w:r w:rsidR="006647B7" w:rsidRPr="006D556B">
              <w:rPr>
                <w:b/>
                <w:sz w:val="28"/>
              </w:rPr>
              <w:t xml:space="preserve">. </w:t>
            </w:r>
            <w:r w:rsidR="007031A8" w:rsidRPr="006D556B">
              <w:rPr>
                <w:b/>
                <w:sz w:val="28"/>
              </w:rPr>
              <w:t>Seneste status- og afsluttende rapporter</w:t>
            </w:r>
            <w:r w:rsidR="005D3C9E" w:rsidRPr="006D556B">
              <w:rPr>
                <w:b/>
                <w:sz w:val="28"/>
              </w:rPr>
              <w:t xml:space="preserve">: </w:t>
            </w:r>
            <w:r w:rsidR="00FC567D" w:rsidRPr="00DF1035">
              <w:t>S</w:t>
            </w:r>
            <w:r w:rsidR="005D3C9E" w:rsidRPr="005D3C9E">
              <w:t>ærlig læring og/</w:t>
            </w:r>
            <w:r w:rsidR="006647B7" w:rsidRPr="005D3C9E">
              <w:t>eller markante observationer</w:t>
            </w:r>
          </w:p>
        </w:tc>
      </w:tr>
      <w:tr w:rsidR="006647B7" w14:paraId="01947DB8" w14:textId="77777777" w:rsidTr="00D53BDD">
        <w:tc>
          <w:tcPr>
            <w:tcW w:w="9778" w:type="dxa"/>
          </w:tcPr>
          <w:p w14:paraId="2D185C86" w14:textId="4B3B58E2" w:rsidR="006647B7" w:rsidRDefault="007031A8">
            <w:r>
              <w:t>Seneste status</w:t>
            </w:r>
            <w:r w:rsidR="005D3C9E">
              <w:t>rapport</w:t>
            </w:r>
            <w:r>
              <w:t>er</w:t>
            </w:r>
            <w:r w:rsidR="005D3C9E">
              <w:t xml:space="preserve">: </w:t>
            </w:r>
          </w:p>
          <w:p w14:paraId="1AA24FF5" w14:textId="77777777" w:rsidR="00A946DD" w:rsidRDefault="00A946DD"/>
          <w:p w14:paraId="5FE22439" w14:textId="77777777" w:rsidR="0095369C" w:rsidRDefault="0095369C"/>
        </w:tc>
      </w:tr>
      <w:tr w:rsidR="006647B7" w14:paraId="699CE5AB" w14:textId="77777777" w:rsidTr="00D53BDD">
        <w:tc>
          <w:tcPr>
            <w:tcW w:w="9778" w:type="dxa"/>
          </w:tcPr>
          <w:p w14:paraId="38A7BB9C" w14:textId="56CFE485" w:rsidR="006647B7" w:rsidRDefault="005D3C9E" w:rsidP="005D3C9E">
            <w:r>
              <w:t>Seneste årsrapport</w:t>
            </w:r>
            <w:r w:rsidR="009570DD">
              <w:t>er</w:t>
            </w:r>
            <w:r>
              <w:t xml:space="preserve">: </w:t>
            </w:r>
          </w:p>
          <w:p w14:paraId="15D51941" w14:textId="77777777" w:rsidR="00A946DD" w:rsidRDefault="00A946DD" w:rsidP="005D3C9E"/>
          <w:p w14:paraId="2B369FCB" w14:textId="77777777" w:rsidR="0095369C" w:rsidRDefault="0095369C" w:rsidP="005D3C9E"/>
        </w:tc>
      </w:tr>
      <w:tr w:rsidR="006647B7" w14:paraId="4B344799" w14:textId="77777777">
        <w:tc>
          <w:tcPr>
            <w:tcW w:w="9778" w:type="dxa"/>
          </w:tcPr>
          <w:p w14:paraId="4323B06E" w14:textId="7FD355E5" w:rsidR="006647B7" w:rsidRPr="006D556B" w:rsidRDefault="00E57990" w:rsidP="005D3C9E">
            <w:pPr>
              <w:rPr>
                <w:b/>
                <w:sz w:val="28"/>
              </w:rPr>
            </w:pPr>
            <w:r w:rsidRPr="006D556B">
              <w:rPr>
                <w:b/>
                <w:sz w:val="28"/>
              </w:rPr>
              <w:t xml:space="preserve">6. </w:t>
            </w:r>
            <w:r w:rsidR="006647B7" w:rsidRPr="006D556B">
              <w:rPr>
                <w:b/>
                <w:sz w:val="28"/>
              </w:rPr>
              <w:t>Temaer</w:t>
            </w:r>
            <w:r w:rsidR="00380966">
              <w:rPr>
                <w:b/>
                <w:sz w:val="28"/>
              </w:rPr>
              <w:t xml:space="preserve">, som </w:t>
            </w:r>
            <w:r w:rsidR="006647B7" w:rsidRPr="006D556B">
              <w:rPr>
                <w:b/>
                <w:sz w:val="28"/>
              </w:rPr>
              <w:t xml:space="preserve">CISU </w:t>
            </w:r>
            <w:r w:rsidR="00380966">
              <w:rPr>
                <w:b/>
                <w:sz w:val="28"/>
              </w:rPr>
              <w:t xml:space="preserve">synes </w:t>
            </w:r>
            <w:r w:rsidR="006647B7" w:rsidRPr="006D556B">
              <w:rPr>
                <w:b/>
                <w:sz w:val="28"/>
              </w:rPr>
              <w:t>kunne være relevant at få i fokus ifm</w:t>
            </w:r>
            <w:r w:rsidR="00FD4457">
              <w:rPr>
                <w:b/>
                <w:sz w:val="28"/>
              </w:rPr>
              <w:t>.</w:t>
            </w:r>
            <w:r w:rsidR="006647B7" w:rsidRPr="006D556B">
              <w:rPr>
                <w:b/>
                <w:sz w:val="28"/>
              </w:rPr>
              <w:t xml:space="preserve"> </w:t>
            </w:r>
            <w:r w:rsidR="00607F9A" w:rsidRPr="006D556B">
              <w:rPr>
                <w:b/>
                <w:sz w:val="28"/>
              </w:rPr>
              <w:t>udformning af</w:t>
            </w:r>
            <w:r w:rsidR="005D3C9E" w:rsidRPr="006D556B">
              <w:rPr>
                <w:b/>
                <w:sz w:val="28"/>
              </w:rPr>
              <w:t xml:space="preserve"> programansøgning</w:t>
            </w:r>
          </w:p>
        </w:tc>
      </w:tr>
      <w:tr w:rsidR="006647B7" w:rsidRPr="007031A8" w14:paraId="7CE0BAEF" w14:textId="77777777">
        <w:tc>
          <w:tcPr>
            <w:tcW w:w="9778" w:type="dxa"/>
          </w:tcPr>
          <w:p w14:paraId="2FAB980B" w14:textId="77777777" w:rsidR="003C7BBE" w:rsidRPr="00557A24" w:rsidRDefault="005D3C9E">
            <w:pPr>
              <w:rPr>
                <w:lang w:val="en-US"/>
              </w:rPr>
            </w:pPr>
            <w:r w:rsidRPr="00557A24">
              <w:rPr>
                <w:lang w:val="en-US"/>
              </w:rPr>
              <w:t>KAPACITET</w:t>
            </w:r>
            <w:r w:rsidR="003C7BBE" w:rsidRPr="00557A24">
              <w:rPr>
                <w:lang w:val="en-US"/>
              </w:rPr>
              <w:t xml:space="preserve"> </w:t>
            </w:r>
          </w:p>
          <w:p w14:paraId="64F4A134" w14:textId="0CE97A67" w:rsidR="007031A8" w:rsidRPr="00557A24" w:rsidRDefault="003C7BBE" w:rsidP="00A63760">
            <w:pPr>
              <w:rPr>
                <w:rFonts w:eastAsia="Times New Roman" w:cs="Times New Roman"/>
                <w:color w:val="000000"/>
                <w:sz w:val="18"/>
                <w:lang w:val="en-US"/>
              </w:rPr>
            </w:pPr>
            <w:r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>1)</w:t>
            </w:r>
            <w:r w:rsidR="00FD1A2F"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A63760"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>Organisation</w:t>
            </w:r>
            <w:r w:rsidR="00CB4405">
              <w:rPr>
                <w:rFonts w:eastAsia="Times New Roman" w:cs="Times New Roman"/>
                <w:color w:val="000000"/>
                <w:sz w:val="18"/>
                <w:lang w:val="en-US"/>
              </w:rPr>
              <w:t>al</w:t>
            </w:r>
            <w:proofErr w:type="spellEnd"/>
            <w:r w:rsidR="00A63760"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 xml:space="preserve"> capacity and popular </w:t>
            </w:r>
            <w:r w:rsidR="00E921F5" w:rsidRPr="00E921F5">
              <w:rPr>
                <w:rFonts w:eastAsia="Times New Roman" w:cs="Times New Roman"/>
                <w:color w:val="000000"/>
                <w:sz w:val="18"/>
                <w:lang w:val="en-US"/>
              </w:rPr>
              <w:t>involvement</w:t>
            </w:r>
            <w:r w:rsidR="00E921F5" w:rsidRPr="00E921F5" w:rsidDel="00E921F5">
              <w:rPr>
                <w:rFonts w:eastAsia="Times New Roman" w:cs="Times New Roman"/>
                <w:color w:val="000000"/>
                <w:sz w:val="18"/>
                <w:lang w:val="en-US"/>
              </w:rPr>
              <w:t xml:space="preserve"> </w:t>
            </w:r>
          </w:p>
          <w:p w14:paraId="17D94579" w14:textId="77777777" w:rsidR="007031A8" w:rsidRPr="00557A24" w:rsidRDefault="007031A8" w:rsidP="00A63760">
            <w:pPr>
              <w:rPr>
                <w:rFonts w:eastAsia="Times New Roman" w:cs="Times New Roman"/>
                <w:color w:val="000000"/>
                <w:sz w:val="18"/>
                <w:lang w:val="en-US"/>
              </w:rPr>
            </w:pPr>
          </w:p>
          <w:p w14:paraId="054AF6EC" w14:textId="77777777" w:rsidR="00A63760" w:rsidRPr="00557A24" w:rsidRDefault="003C7BBE" w:rsidP="00A63760">
            <w:pPr>
              <w:rPr>
                <w:rFonts w:eastAsia="Times New Roman" w:cs="Times New Roman"/>
                <w:color w:val="000000"/>
                <w:sz w:val="18"/>
                <w:lang w:val="en-US"/>
              </w:rPr>
            </w:pPr>
            <w:r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 xml:space="preserve">2) </w:t>
            </w:r>
            <w:r w:rsidR="00A63760"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>Financial management and administrative capacity</w:t>
            </w:r>
          </w:p>
          <w:p w14:paraId="27EF658C" w14:textId="77777777" w:rsidR="007031A8" w:rsidRPr="00557A24" w:rsidRDefault="007031A8">
            <w:pPr>
              <w:rPr>
                <w:rFonts w:eastAsia="Times New Roman" w:cs="Times New Roman"/>
                <w:color w:val="000000"/>
                <w:sz w:val="18"/>
                <w:lang w:val="en-US"/>
              </w:rPr>
            </w:pPr>
          </w:p>
          <w:p w14:paraId="26176CF9" w14:textId="2F2C22AF" w:rsidR="007031A8" w:rsidRDefault="003C7BBE">
            <w:pPr>
              <w:rPr>
                <w:rFonts w:eastAsia="Times New Roman" w:cs="Times New Roman"/>
                <w:color w:val="000000"/>
                <w:sz w:val="18"/>
                <w:lang w:val="en-GB"/>
              </w:rPr>
            </w:pPr>
            <w:r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 xml:space="preserve">3) </w:t>
            </w:r>
            <w:proofErr w:type="spellStart"/>
            <w:r w:rsidRPr="00557A24">
              <w:rPr>
                <w:rFonts w:eastAsia="Times New Roman" w:cs="Times New Roman"/>
                <w:color w:val="000000"/>
                <w:sz w:val="18"/>
                <w:lang w:val="en-US"/>
              </w:rPr>
              <w:t>Analyti</w:t>
            </w: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>cal</w:t>
            </w:r>
            <w:proofErr w:type="spellEnd"/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 xml:space="preserve"> capacity and learning</w:t>
            </w:r>
          </w:p>
          <w:p w14:paraId="6BBC6060" w14:textId="77777777" w:rsidR="007031A8" w:rsidRDefault="007031A8">
            <w:pPr>
              <w:rPr>
                <w:rFonts w:eastAsia="Times New Roman" w:cs="Times New Roman"/>
                <w:color w:val="000000"/>
                <w:sz w:val="18"/>
                <w:lang w:val="en-GB"/>
              </w:rPr>
            </w:pPr>
          </w:p>
          <w:p w14:paraId="34CA2D80" w14:textId="77777777" w:rsidR="006647B7" w:rsidRPr="00A63760" w:rsidRDefault="003C7BBE">
            <w:pPr>
              <w:rPr>
                <w:rFonts w:eastAsia="Times New Roman" w:cs="Times New Roman"/>
                <w:color w:val="000000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>4) Delivering and documenting results</w:t>
            </w:r>
            <w:r w:rsidR="006647B7" w:rsidRPr="003C7BBE">
              <w:rPr>
                <w:sz w:val="18"/>
                <w:lang w:val="en-US"/>
              </w:rPr>
              <w:t xml:space="preserve">  </w:t>
            </w:r>
          </w:p>
          <w:p w14:paraId="4B404D42" w14:textId="77777777" w:rsidR="00A93AC2" w:rsidRPr="003C7BBE" w:rsidRDefault="00A93AC2">
            <w:pPr>
              <w:rPr>
                <w:lang w:val="en-US"/>
              </w:rPr>
            </w:pPr>
          </w:p>
        </w:tc>
      </w:tr>
      <w:tr w:rsidR="006647B7" w:rsidRPr="00510BE0" w14:paraId="265134E7" w14:textId="77777777">
        <w:tc>
          <w:tcPr>
            <w:tcW w:w="9778" w:type="dxa"/>
          </w:tcPr>
          <w:p w14:paraId="54705A7C" w14:textId="77777777" w:rsidR="006647B7" w:rsidRPr="00A946DD" w:rsidRDefault="005D3C9E">
            <w:pPr>
              <w:rPr>
                <w:lang w:val="en-US"/>
              </w:rPr>
            </w:pPr>
            <w:r w:rsidRPr="00A946DD">
              <w:rPr>
                <w:lang w:val="en-US"/>
              </w:rPr>
              <w:t xml:space="preserve">STRATEGISK ORIENTERING </w:t>
            </w:r>
          </w:p>
          <w:p w14:paraId="754C2408" w14:textId="15F15186" w:rsidR="00A63760" w:rsidRPr="00A63760" w:rsidRDefault="003C7BBE" w:rsidP="00A63760">
            <w:pPr>
              <w:rPr>
                <w:rFonts w:eastAsia="Times New Roman" w:cs="Times New Roman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5) </w:t>
            </w:r>
            <w:r w:rsidR="00736C1C" w:rsidRPr="00736C1C">
              <w:rPr>
                <w:rFonts w:eastAsia="Times New Roman" w:cs="Times New Roman"/>
                <w:sz w:val="18"/>
                <w:lang w:val="en-GB"/>
              </w:rPr>
              <w:t>Strategic approach strengthening civil society in the Global South and relevance to the Sustainable Development Goals agenda</w:t>
            </w:r>
          </w:p>
          <w:p w14:paraId="32CC5583" w14:textId="77777777" w:rsidR="007031A8" w:rsidRDefault="007031A8" w:rsidP="00A63760">
            <w:pPr>
              <w:rPr>
                <w:rFonts w:eastAsia="Times New Roman" w:cs="Times New Roman"/>
                <w:sz w:val="18"/>
                <w:lang w:val="en-GB"/>
              </w:rPr>
            </w:pPr>
          </w:p>
          <w:p w14:paraId="70F9D284" w14:textId="27D3FB7A" w:rsidR="00A93AC2" w:rsidRPr="00FD4457" w:rsidRDefault="003C7BBE">
            <w:pPr>
              <w:rPr>
                <w:rFonts w:eastAsia="Times New Roman" w:cs="Times New Roman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6) </w:t>
            </w:r>
            <w:r w:rsidR="005B6747" w:rsidRPr="009D543D">
              <w:rPr>
                <w:rFonts w:eastAsia="Times New Roman" w:cs="Times New Roman"/>
                <w:sz w:val="18"/>
                <w:lang w:val="en-GB"/>
              </w:rPr>
              <w:t>Relevance of partner organisations and their local, national and/or global networking partners, and their approach strengthening local leadership as part of the programme</w:t>
            </w:r>
          </w:p>
          <w:p w14:paraId="3B0E153A" w14:textId="77777777" w:rsidR="00A93AC2" w:rsidRPr="003C7BBE" w:rsidRDefault="00A93AC2">
            <w:pPr>
              <w:rPr>
                <w:lang w:val="en-US"/>
              </w:rPr>
            </w:pPr>
          </w:p>
        </w:tc>
      </w:tr>
      <w:tr w:rsidR="006647B7" w:rsidRPr="009D543D" w14:paraId="3200BB57" w14:textId="77777777">
        <w:tc>
          <w:tcPr>
            <w:tcW w:w="9778" w:type="dxa"/>
          </w:tcPr>
          <w:p w14:paraId="14674BCD" w14:textId="77777777" w:rsidR="006647B7" w:rsidRPr="00A946DD" w:rsidRDefault="005D3C9E">
            <w:pPr>
              <w:rPr>
                <w:lang w:val="en-US"/>
              </w:rPr>
            </w:pPr>
            <w:r w:rsidRPr="00A946DD">
              <w:rPr>
                <w:lang w:val="en-US"/>
              </w:rPr>
              <w:t>PROGRAM APPROACH</w:t>
            </w:r>
          </w:p>
          <w:p w14:paraId="59D3AEB2" w14:textId="0B2E0DE8" w:rsidR="00A9303A" w:rsidRDefault="003C7BBE">
            <w:pPr>
              <w:rPr>
                <w:rFonts w:eastAsia="Times New Roman" w:cs="Times New Roman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7) Theory of </w:t>
            </w:r>
            <w:r w:rsidR="00FD1A2F">
              <w:rPr>
                <w:rFonts w:eastAsia="Times New Roman" w:cs="Times New Roman"/>
                <w:sz w:val="18"/>
                <w:lang w:val="en-GB"/>
              </w:rPr>
              <w:t xml:space="preserve">Change </w:t>
            </w:r>
            <w:r w:rsidR="00FD1A2F">
              <w:rPr>
                <w:rFonts w:eastAsia="Times New Roman" w:cs="Times New Roman"/>
                <w:sz w:val="18"/>
                <w:lang w:val="en-GB"/>
              </w:rPr>
              <w:t>and program synergy</w:t>
            </w:r>
          </w:p>
          <w:p w14:paraId="28E1B77C" w14:textId="77777777" w:rsidR="00A9303A" w:rsidRDefault="00A9303A">
            <w:pPr>
              <w:rPr>
                <w:rFonts w:eastAsia="Times New Roman" w:cs="Times New Roman"/>
                <w:sz w:val="18"/>
                <w:lang w:val="en-GB"/>
              </w:rPr>
            </w:pPr>
          </w:p>
          <w:p w14:paraId="6A6CB0D4" w14:textId="0F5F7352" w:rsidR="00863562" w:rsidRDefault="00FD1A2F">
            <w:pPr>
              <w:rPr>
                <w:rFonts w:eastAsia="Times New Roman" w:cs="Times New Roman"/>
                <w:sz w:val="18"/>
                <w:lang w:val="en-GB"/>
              </w:rPr>
            </w:pPr>
            <w:r>
              <w:rPr>
                <w:rFonts w:eastAsia="Times New Roman" w:cs="Times New Roman"/>
                <w:sz w:val="18"/>
                <w:lang w:val="en-GB"/>
              </w:rPr>
              <w:t xml:space="preserve">8) </w:t>
            </w:r>
            <w:r w:rsidR="00863562" w:rsidRPr="00863562">
              <w:rPr>
                <w:rFonts w:eastAsia="Times New Roman" w:cs="Times New Roman"/>
                <w:sz w:val="18"/>
                <w:lang w:val="en-GB"/>
              </w:rPr>
              <w:t>Result Framework and Monitoring, Evaluation, and Learning (MEL) system</w:t>
            </w:r>
            <w:r w:rsidR="00863562" w:rsidRPr="00863562" w:rsidDel="00863562">
              <w:rPr>
                <w:rFonts w:eastAsia="Times New Roman" w:cs="Times New Roman"/>
                <w:sz w:val="18"/>
                <w:lang w:val="en-GB"/>
              </w:rPr>
              <w:t xml:space="preserve"> </w:t>
            </w:r>
          </w:p>
          <w:p w14:paraId="640E147C" w14:textId="77777777" w:rsidR="00A9303A" w:rsidRDefault="00A9303A">
            <w:pPr>
              <w:rPr>
                <w:rFonts w:eastAsia="Times New Roman" w:cs="Times New Roman"/>
                <w:sz w:val="18"/>
                <w:lang w:val="en-GB"/>
              </w:rPr>
            </w:pPr>
          </w:p>
          <w:p w14:paraId="0B34B4B0" w14:textId="72CB7A98" w:rsidR="00A9303A" w:rsidRDefault="003C7BBE">
            <w:pPr>
              <w:rPr>
                <w:rFonts w:eastAsia="Times New Roman" w:cs="Times New Roman"/>
                <w:color w:val="000000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9) </w:t>
            </w: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 xml:space="preserve">A human </w:t>
            </w:r>
            <w:r w:rsidR="00FD4457"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>rights-based</w:t>
            </w: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 xml:space="preserve"> approach (HRBA)</w:t>
            </w:r>
          </w:p>
          <w:p w14:paraId="00047D09" w14:textId="77777777" w:rsidR="00A9303A" w:rsidRDefault="00A9303A">
            <w:pPr>
              <w:rPr>
                <w:rFonts w:eastAsia="Times New Roman" w:cs="Times New Roman"/>
                <w:color w:val="000000"/>
                <w:sz w:val="18"/>
                <w:lang w:val="en-GB"/>
              </w:rPr>
            </w:pPr>
          </w:p>
          <w:p w14:paraId="473D857B" w14:textId="5518376A" w:rsidR="00A9303A" w:rsidRDefault="003C7BBE">
            <w:pPr>
              <w:rPr>
                <w:rFonts w:eastAsia="Times New Roman" w:cs="Times New Roman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 xml:space="preserve">10) </w:t>
            </w: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Sustainability </w:t>
            </w:r>
          </w:p>
          <w:p w14:paraId="1E3696E7" w14:textId="77777777" w:rsidR="00A9303A" w:rsidRDefault="00A9303A">
            <w:pPr>
              <w:rPr>
                <w:rFonts w:eastAsia="Times New Roman" w:cs="Times New Roman"/>
                <w:sz w:val="18"/>
                <w:lang w:val="en-GB"/>
              </w:rPr>
            </w:pPr>
          </w:p>
          <w:p w14:paraId="2F47EDBE" w14:textId="16599048" w:rsidR="00A9303A" w:rsidRDefault="003C7BBE">
            <w:pPr>
              <w:rPr>
                <w:rFonts w:eastAsia="Times New Roman" w:cs="Times New Roman"/>
                <w:sz w:val="18"/>
                <w:lang w:val="en-GB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>11)</w:t>
            </w:r>
            <w:r w:rsidR="0095369C">
              <w:rPr>
                <w:rFonts w:eastAsia="Times New Roman" w:cs="Times New Roman"/>
                <w:sz w:val="18"/>
                <w:lang w:val="en-GB"/>
              </w:rPr>
              <w:t xml:space="preserve"> F</w:t>
            </w:r>
            <w:r w:rsidR="00FD1A2F">
              <w:rPr>
                <w:rFonts w:eastAsia="Times New Roman" w:cs="Times New Roman"/>
                <w:sz w:val="18"/>
                <w:lang w:val="en-GB"/>
              </w:rPr>
              <w:t xml:space="preserve">inancial </w:t>
            </w:r>
            <w:r w:rsidR="006D5AE7">
              <w:rPr>
                <w:rFonts w:eastAsia="Times New Roman" w:cs="Times New Roman"/>
                <w:sz w:val="18"/>
                <w:lang w:val="en-GB"/>
              </w:rPr>
              <w:t>r</w:t>
            </w:r>
            <w:r w:rsidR="00FD1A2F">
              <w:rPr>
                <w:rFonts w:eastAsia="Times New Roman" w:cs="Times New Roman"/>
                <w:sz w:val="18"/>
                <w:lang w:val="en-GB"/>
              </w:rPr>
              <w:t>esources</w:t>
            </w:r>
            <w:r w:rsidR="009E5B6D">
              <w:rPr>
                <w:rFonts w:eastAsia="Times New Roman" w:cs="Times New Roman"/>
                <w:sz w:val="18"/>
                <w:lang w:val="en-GB"/>
              </w:rPr>
              <w:t xml:space="preserve"> and cost</w:t>
            </w: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 </w:t>
            </w:r>
            <w:r w:rsidR="00CD453F">
              <w:rPr>
                <w:rFonts w:eastAsia="Times New Roman" w:cs="Times New Roman"/>
                <w:sz w:val="18"/>
                <w:lang w:val="en-GB"/>
              </w:rPr>
              <w:t>l</w:t>
            </w:r>
            <w:r w:rsidRPr="003C7BBE">
              <w:rPr>
                <w:rFonts w:eastAsia="Times New Roman" w:cs="Times New Roman"/>
                <w:sz w:val="18"/>
                <w:lang w:val="en-GB"/>
              </w:rPr>
              <w:t xml:space="preserve">evel </w:t>
            </w:r>
          </w:p>
          <w:p w14:paraId="757852FC" w14:textId="77777777" w:rsidR="00A9303A" w:rsidRDefault="00A9303A">
            <w:pPr>
              <w:rPr>
                <w:rFonts w:eastAsia="Times New Roman" w:cs="Times New Roman"/>
                <w:sz w:val="18"/>
                <w:lang w:val="en-GB"/>
              </w:rPr>
            </w:pPr>
          </w:p>
          <w:p w14:paraId="241479E5" w14:textId="0500CFBC" w:rsidR="003C7BBE" w:rsidRPr="003C7BBE" w:rsidRDefault="003C7BBE">
            <w:pPr>
              <w:rPr>
                <w:lang w:val="en-US"/>
              </w:rPr>
            </w:pPr>
            <w:r w:rsidRPr="003C7BBE">
              <w:rPr>
                <w:rFonts w:eastAsia="Times New Roman" w:cs="Times New Roman"/>
                <w:sz w:val="18"/>
                <w:lang w:val="en-GB"/>
              </w:rPr>
              <w:t>12)</w:t>
            </w:r>
            <w:r w:rsidRPr="003C7BBE">
              <w:rPr>
                <w:rFonts w:eastAsia="Times New Roman" w:cs="Times New Roman"/>
                <w:color w:val="000000"/>
                <w:sz w:val="18"/>
                <w:lang w:val="en-GB"/>
              </w:rPr>
              <w:t xml:space="preserve"> </w:t>
            </w:r>
            <w:r w:rsidR="0077760A" w:rsidRPr="009D543D">
              <w:rPr>
                <w:lang w:val="en-US"/>
              </w:rPr>
              <w:t xml:space="preserve"> </w:t>
            </w:r>
            <w:r w:rsidR="0077760A" w:rsidRPr="0077760A">
              <w:rPr>
                <w:rFonts w:eastAsia="Times New Roman" w:cs="Times New Roman"/>
                <w:color w:val="000000"/>
                <w:sz w:val="18"/>
                <w:lang w:val="en-GB"/>
              </w:rPr>
              <w:t>Information activities in Denmark</w:t>
            </w:r>
          </w:p>
          <w:p w14:paraId="409512D8" w14:textId="77777777" w:rsidR="00A93AC2" w:rsidRPr="003C7BBE" w:rsidRDefault="00A93AC2">
            <w:pPr>
              <w:rPr>
                <w:lang w:val="en-US"/>
              </w:rPr>
            </w:pPr>
          </w:p>
        </w:tc>
      </w:tr>
    </w:tbl>
    <w:p w14:paraId="1C3DF812" w14:textId="77777777" w:rsidR="003C7BBE" w:rsidRPr="003C7BBE" w:rsidRDefault="003C7BBE" w:rsidP="007120A1">
      <w:pPr>
        <w:pStyle w:val="Listeafsnit"/>
        <w:ind w:left="0"/>
        <w:rPr>
          <w:lang w:val="en-US"/>
        </w:rPr>
      </w:pPr>
    </w:p>
    <w:sectPr w:rsidR="003C7BBE" w:rsidRPr="003C7BBE" w:rsidSect="00F951E0">
      <w:headerReference w:type="default" r:id="rId10"/>
      <w:pgSz w:w="11906" w:h="16838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EE53" w14:textId="77777777" w:rsidR="00C23395" w:rsidRDefault="00C23395" w:rsidP="00F951E0">
      <w:pPr>
        <w:spacing w:after="0" w:line="240" w:lineRule="auto"/>
      </w:pPr>
      <w:r>
        <w:separator/>
      </w:r>
    </w:p>
  </w:endnote>
  <w:endnote w:type="continuationSeparator" w:id="0">
    <w:p w14:paraId="1332AEC7" w14:textId="77777777" w:rsidR="00C23395" w:rsidRDefault="00C23395" w:rsidP="00F951E0">
      <w:pPr>
        <w:spacing w:after="0" w:line="240" w:lineRule="auto"/>
      </w:pPr>
      <w:r>
        <w:continuationSeparator/>
      </w:r>
    </w:p>
  </w:endnote>
  <w:endnote w:type="continuationNotice" w:id="1">
    <w:p w14:paraId="1C97B854" w14:textId="77777777" w:rsidR="00C23395" w:rsidRDefault="00C23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34B9" w14:textId="77777777" w:rsidR="00C23395" w:rsidRDefault="00C23395" w:rsidP="00F951E0">
      <w:pPr>
        <w:spacing w:after="0" w:line="240" w:lineRule="auto"/>
      </w:pPr>
      <w:r>
        <w:separator/>
      </w:r>
    </w:p>
  </w:footnote>
  <w:footnote w:type="continuationSeparator" w:id="0">
    <w:p w14:paraId="2ED6F600" w14:textId="77777777" w:rsidR="00C23395" w:rsidRDefault="00C23395" w:rsidP="00F951E0">
      <w:pPr>
        <w:spacing w:after="0" w:line="240" w:lineRule="auto"/>
      </w:pPr>
      <w:r>
        <w:continuationSeparator/>
      </w:r>
    </w:p>
  </w:footnote>
  <w:footnote w:type="continuationNotice" w:id="1">
    <w:p w14:paraId="5BBDCCEA" w14:textId="77777777" w:rsidR="00C23395" w:rsidRDefault="00C23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AC3B" w14:textId="3190F355" w:rsidR="00F951E0" w:rsidRDefault="00684697" w:rsidP="00F951E0">
    <w:pPr>
      <w:pStyle w:val="Sidehoved"/>
      <w:tabs>
        <w:tab w:val="clear" w:pos="4819"/>
        <w:tab w:val="clear" w:pos="9638"/>
        <w:tab w:val="left" w:pos="72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7264E87" wp14:editId="440F8CD4">
              <wp:simplePos x="0" y="0"/>
              <wp:positionH relativeFrom="margin">
                <wp:posOffset>-43815</wp:posOffset>
              </wp:positionH>
              <wp:positionV relativeFrom="page">
                <wp:posOffset>-9525</wp:posOffset>
              </wp:positionV>
              <wp:extent cx="2385060" cy="990600"/>
              <wp:effectExtent l="0" t="0" r="0" b="0"/>
              <wp:wrapSquare wrapText="bothSides"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5060" cy="990600"/>
                      </a:xfrm>
                      <a:prstGeom prst="rect">
                        <a:avLst/>
                      </a:prstGeom>
                      <a:solidFill>
                        <a:srgbClr val="96A63E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278F87" w14:textId="60F63988" w:rsidR="00F951E0" w:rsidRPr="001E26F5" w:rsidRDefault="00F951E0" w:rsidP="00F951E0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</w:pPr>
                          <w:r w:rsidRPr="001E26F5"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  <w:t xml:space="preserve">Track Record </w:t>
                          </w:r>
                          <w:proofErr w:type="spellStart"/>
                          <w:r w:rsidRPr="001E26F5"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  <w:t>Dokument</w:t>
                          </w:r>
                          <w:proofErr w:type="spellEnd"/>
                          <w:r w:rsidRPr="001E26F5"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  <w:t xml:space="preserve"> (TRD)</w:t>
                          </w:r>
                        </w:p>
                        <w:p w14:paraId="217BB969" w14:textId="6109F8EF" w:rsidR="00F951E0" w:rsidRPr="001E26F5" w:rsidRDefault="00F951E0" w:rsidP="00F951E0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</w:pPr>
                          <w:r w:rsidRPr="001E26F5">
                            <w:rPr>
                              <w:rFonts w:cstheme="minorHAnsi"/>
                              <w:color w:val="FFFFFF" w:themeColor="background1"/>
                              <w:lang w:val="en-US"/>
                            </w:rPr>
                            <w:t>CIVIL SOCIETY FUND</w:t>
                          </w:r>
                        </w:p>
                        <w:p w14:paraId="4122BA4E" w14:textId="77777777" w:rsidR="005A485C" w:rsidRDefault="005A485C" w:rsidP="00EB20ED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</w:pPr>
                        </w:p>
                        <w:p w14:paraId="5A5AE381" w14:textId="3BCCF6BE" w:rsidR="00F951E0" w:rsidRPr="00B66622" w:rsidRDefault="00EB20ED" w:rsidP="00EB20E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  <w:t>September 2022</w:t>
                          </w:r>
                        </w:p>
                      </w:txbxContent>
                    </wps:txbx>
                    <wps:bodyPr rot="0" vert="horz" wrap="square" lIns="144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264E87" id="Rektangel 3" o:spid="_x0000_s1027" style="position:absolute;margin-left:-3.45pt;margin-top:-.75pt;width:187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y+6wEAAMQDAAAOAAAAZHJzL2Uyb0RvYy54bWysU8Fu2zAMvQ/YPwi6L3bSLmiMOEWQrsOA&#10;bh3Q7QNkWbaFyaJGKbGzrx8lp2mz3YZdBFIkn/geqfXt2Bt2UOg12JLPZzlnykqotW1L/v3b/bsb&#10;znwQthYGrCr5UXl+u3n7Zj24Qi2gA1MrZARifTG4knchuCLLvOxUL/wMnLIUbAB7EcjFNqtRDITe&#10;m2yR58tsAKwdglTe0+3dFOSbhN80SobHpvEqMFNy6i2kE9NZxTPbrEXRonCdlqc2xD900Qtt6dEz&#10;1J0Igu1R/wXVa4ngoQkzCX0GTaOlShyIzTz/g81TJ5xKXEgc784y+f8HK78cntxXjK179wDyh2cW&#10;dp2wrdoiwtApUdNz8yhUNjhfnAui46mUVcNnqGm0Yh8gaTA22EdAYsfGJPXxLLUaA5N0ubi6eZ8v&#10;aSKSYqsVmWkWmSieqx368FFBz6JRcqRRJnRxePAhdiOK55TUPRhd32tjkoNttTPIDoLGvlpul1cf&#10;EgEi+TrN2JhsIZZNiPEm0YzM4hL5IozVSMFoVlAfiTDCtEa09mR0gL84G2iFSu5/7gUqzswnG0W7&#10;vs6JFgsXHl541YUnrCS4kgfOJnMXpl3dO9RtR6/NkwYWtiR2o5MOL52deqdVSfKc1jru4ms/Zb18&#10;vs1vAAAA//8DAFBLAwQUAAYACAAAACEA94LT/+AAAAAJAQAADwAAAGRycy9kb3ducmV2LnhtbEyP&#10;y07DMBBF90j8gzVI7Fq7j6QlxKkQUrOCSpR278QmDsTjKHba8PcMK1iNRvfozpl8N7mOXcwQWo8S&#10;FnMBzGDtdYuNhNP7frYFFqJCrTqPRsK3CbArbm9ylWl/xTdzOcaGUQmGTEmwMfYZ56G2xqkw971B&#10;yj784FSkdWi4HtSVyl3Hl0Kk3KkW6YJVvXm2pv46jk7C+VSuP5f76vCySjYHYV/L8SxKKe/vpqdH&#10;YNFM8Q+GX31Sh4KcKj+iDqyTMEsfiKS5SIBRvkq3G2AVgck6AV7k/P8HxQ8AAAD//wMAUEsBAi0A&#10;FAAGAAgAAAAhALaDOJL+AAAA4QEAABMAAAAAAAAAAAAAAAAAAAAAAFtDb250ZW50X1R5cGVzXS54&#10;bWxQSwECLQAUAAYACAAAACEAOP0h/9YAAACUAQAACwAAAAAAAAAAAAAAAAAvAQAAX3JlbHMvLnJl&#10;bHNQSwECLQAUAAYACAAAACEA2nG8vusBAADEAwAADgAAAAAAAAAAAAAAAAAuAgAAZHJzL2Uyb0Rv&#10;Yy54bWxQSwECLQAUAAYACAAAACEA94LT/+AAAAAJAQAADwAAAAAAAAAAAAAAAABFBAAAZHJzL2Rv&#10;d25yZXYueG1sUEsFBgAAAAAEAAQA8wAAAFIFAAAAAA==&#10;" o:allowoverlap="f" fillcolor="#96a63e" stroked="f">
              <v:textbox inset="4mm,4mm,4mm,4mm">
                <w:txbxContent>
                  <w:p w14:paraId="78278F87" w14:textId="60F63988" w:rsidR="00F951E0" w:rsidRPr="001E26F5" w:rsidRDefault="00F951E0" w:rsidP="00F951E0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US"/>
                      </w:rPr>
                    </w:pPr>
                    <w:r w:rsidRPr="001E26F5">
                      <w:rPr>
                        <w:rFonts w:cstheme="minorHAnsi"/>
                        <w:color w:val="FFFFFF" w:themeColor="background1"/>
                        <w:lang w:val="en-US"/>
                      </w:rPr>
                      <w:t xml:space="preserve">Track Record </w:t>
                    </w:r>
                    <w:proofErr w:type="spellStart"/>
                    <w:r w:rsidRPr="001E26F5">
                      <w:rPr>
                        <w:rFonts w:cstheme="minorHAnsi"/>
                        <w:color w:val="FFFFFF" w:themeColor="background1"/>
                        <w:lang w:val="en-US"/>
                      </w:rPr>
                      <w:t>Dokument</w:t>
                    </w:r>
                    <w:proofErr w:type="spellEnd"/>
                    <w:r w:rsidRPr="001E26F5">
                      <w:rPr>
                        <w:rFonts w:cstheme="minorHAnsi"/>
                        <w:color w:val="FFFFFF" w:themeColor="background1"/>
                        <w:lang w:val="en-US"/>
                      </w:rPr>
                      <w:t xml:space="preserve"> (TRD)</w:t>
                    </w:r>
                  </w:p>
                  <w:p w14:paraId="217BB969" w14:textId="6109F8EF" w:rsidR="00F951E0" w:rsidRPr="001E26F5" w:rsidRDefault="00F951E0" w:rsidP="00F951E0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US"/>
                      </w:rPr>
                    </w:pPr>
                    <w:r w:rsidRPr="001E26F5">
                      <w:rPr>
                        <w:rFonts w:cstheme="minorHAnsi"/>
                        <w:color w:val="FFFFFF" w:themeColor="background1"/>
                        <w:lang w:val="en-US"/>
                      </w:rPr>
                      <w:t>CIVIL SOCIETY FUND</w:t>
                    </w:r>
                  </w:p>
                  <w:p w14:paraId="4122BA4E" w14:textId="77777777" w:rsidR="005A485C" w:rsidRDefault="005A485C" w:rsidP="00EB20ED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</w:pPr>
                  </w:p>
                  <w:p w14:paraId="5A5AE381" w14:textId="3BCCF6BE" w:rsidR="00F951E0" w:rsidRPr="00B66622" w:rsidRDefault="00EB20ED" w:rsidP="00EB20E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  <w:t>September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951E0">
      <w:rPr>
        <w:rFonts w:cs="Arial"/>
        <w:noProof/>
        <w:color w:val="000000"/>
        <w:sz w:val="48"/>
        <w:szCs w:val="48"/>
      </w:rPr>
      <w:drawing>
        <wp:anchor distT="0" distB="0" distL="114300" distR="114300" simplePos="0" relativeHeight="251658241" behindDoc="1" locked="0" layoutInCell="1" allowOverlap="1" wp14:anchorId="39A0092B" wp14:editId="3E06E702">
          <wp:simplePos x="0" y="0"/>
          <wp:positionH relativeFrom="column">
            <wp:posOffset>3966210</wp:posOffset>
          </wp:positionH>
          <wp:positionV relativeFrom="paragraph">
            <wp:posOffset>6985</wp:posOffset>
          </wp:positionV>
          <wp:extent cx="2331085" cy="447675"/>
          <wp:effectExtent l="0" t="0" r="0" b="0"/>
          <wp:wrapTight wrapText="bothSides">
            <wp:wrapPolygon edited="0">
              <wp:start x="706" y="0"/>
              <wp:lineTo x="0" y="9191"/>
              <wp:lineTo x="0" y="11949"/>
              <wp:lineTo x="177" y="17464"/>
              <wp:lineTo x="2295" y="21140"/>
              <wp:lineTo x="3707" y="21140"/>
              <wp:lineTo x="20476" y="21140"/>
              <wp:lineTo x="21359" y="15626"/>
              <wp:lineTo x="21359" y="8272"/>
              <wp:lineTo x="3707" y="0"/>
              <wp:lineTo x="706" y="0"/>
            </wp:wrapPolygon>
          </wp:wrapTight>
          <wp:docPr id="6" name="Billede 6" descr="S:\Formater\CISU logo FINAL\CISU-eng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ormater\CISU logo FINAL\CISU-eng-e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1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11"/>
    <w:multiLevelType w:val="hybridMultilevel"/>
    <w:tmpl w:val="D78A4F46"/>
    <w:lvl w:ilvl="0" w:tplc="9B46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75A"/>
    <w:multiLevelType w:val="hybridMultilevel"/>
    <w:tmpl w:val="905CAC12"/>
    <w:lvl w:ilvl="0" w:tplc="22EC02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2E16"/>
    <w:multiLevelType w:val="hybridMultilevel"/>
    <w:tmpl w:val="62CE02F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E4663"/>
    <w:multiLevelType w:val="hybridMultilevel"/>
    <w:tmpl w:val="18F6DDA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F2B65"/>
    <w:multiLevelType w:val="hybridMultilevel"/>
    <w:tmpl w:val="D99E2EDA"/>
    <w:lvl w:ilvl="0" w:tplc="D7CC2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1245"/>
    <w:multiLevelType w:val="hybridMultilevel"/>
    <w:tmpl w:val="84EA7B92"/>
    <w:lvl w:ilvl="0" w:tplc="F2AA02D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B65"/>
    <w:multiLevelType w:val="hybridMultilevel"/>
    <w:tmpl w:val="DDF81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0DCF"/>
    <w:multiLevelType w:val="hybridMultilevel"/>
    <w:tmpl w:val="081C977C"/>
    <w:lvl w:ilvl="0" w:tplc="BFFA660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13CE3"/>
    <w:multiLevelType w:val="hybridMultilevel"/>
    <w:tmpl w:val="802442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3301"/>
    <w:multiLevelType w:val="hybridMultilevel"/>
    <w:tmpl w:val="98F43290"/>
    <w:lvl w:ilvl="0" w:tplc="B3C89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122"/>
    <w:multiLevelType w:val="hybridMultilevel"/>
    <w:tmpl w:val="3FE80CF0"/>
    <w:lvl w:ilvl="0" w:tplc="118A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444C"/>
    <w:multiLevelType w:val="hybridMultilevel"/>
    <w:tmpl w:val="8D86C850"/>
    <w:lvl w:ilvl="0" w:tplc="CFBE2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40A65"/>
    <w:multiLevelType w:val="hybridMultilevel"/>
    <w:tmpl w:val="0A4ECC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04D1B"/>
    <w:multiLevelType w:val="hybridMultilevel"/>
    <w:tmpl w:val="F6E08D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74226"/>
    <w:multiLevelType w:val="hybridMultilevel"/>
    <w:tmpl w:val="F4ACED78"/>
    <w:lvl w:ilvl="0" w:tplc="EF042D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84A"/>
    <w:multiLevelType w:val="hybridMultilevel"/>
    <w:tmpl w:val="466CEC8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F6E34"/>
    <w:multiLevelType w:val="hybridMultilevel"/>
    <w:tmpl w:val="802442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0457">
    <w:abstractNumId w:val="17"/>
  </w:num>
  <w:num w:numId="2" w16cid:durableId="474952112">
    <w:abstractNumId w:val="8"/>
  </w:num>
  <w:num w:numId="3" w16cid:durableId="1601796758">
    <w:abstractNumId w:val="7"/>
  </w:num>
  <w:num w:numId="4" w16cid:durableId="1650204839">
    <w:abstractNumId w:val="6"/>
  </w:num>
  <w:num w:numId="5" w16cid:durableId="1637226019">
    <w:abstractNumId w:val="12"/>
  </w:num>
  <w:num w:numId="6" w16cid:durableId="452793920">
    <w:abstractNumId w:val="1"/>
  </w:num>
  <w:num w:numId="7" w16cid:durableId="893010432">
    <w:abstractNumId w:val="15"/>
  </w:num>
  <w:num w:numId="8" w16cid:durableId="65033097">
    <w:abstractNumId w:val="9"/>
  </w:num>
  <w:num w:numId="9" w16cid:durableId="2073118055">
    <w:abstractNumId w:val="0"/>
  </w:num>
  <w:num w:numId="10" w16cid:durableId="21633607">
    <w:abstractNumId w:val="14"/>
  </w:num>
  <w:num w:numId="11" w16cid:durableId="360328402">
    <w:abstractNumId w:val="16"/>
  </w:num>
  <w:num w:numId="12" w16cid:durableId="564339234">
    <w:abstractNumId w:val="2"/>
  </w:num>
  <w:num w:numId="13" w16cid:durableId="622153109">
    <w:abstractNumId w:val="3"/>
  </w:num>
  <w:num w:numId="14" w16cid:durableId="1503742859">
    <w:abstractNumId w:val="5"/>
  </w:num>
  <w:num w:numId="15" w16cid:durableId="1596938320">
    <w:abstractNumId w:val="4"/>
  </w:num>
  <w:num w:numId="16" w16cid:durableId="1317146994">
    <w:abstractNumId w:val="13"/>
  </w:num>
  <w:num w:numId="17" w16cid:durableId="1879509341">
    <w:abstractNumId w:val="10"/>
  </w:num>
  <w:num w:numId="18" w16cid:durableId="154928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A5"/>
    <w:rsid w:val="000128F3"/>
    <w:rsid w:val="0010022E"/>
    <w:rsid w:val="00112E28"/>
    <w:rsid w:val="00164765"/>
    <w:rsid w:val="0018357C"/>
    <w:rsid w:val="0018745B"/>
    <w:rsid w:val="001A4E2B"/>
    <w:rsid w:val="001B7BD1"/>
    <w:rsid w:val="001C5706"/>
    <w:rsid w:val="001E26F5"/>
    <w:rsid w:val="001E3888"/>
    <w:rsid w:val="00226C4C"/>
    <w:rsid w:val="002405CA"/>
    <w:rsid w:val="002766F1"/>
    <w:rsid w:val="002B4276"/>
    <w:rsid w:val="002C5706"/>
    <w:rsid w:val="002D6449"/>
    <w:rsid w:val="003068A1"/>
    <w:rsid w:val="00346B94"/>
    <w:rsid w:val="00380966"/>
    <w:rsid w:val="00387012"/>
    <w:rsid w:val="003C7BBE"/>
    <w:rsid w:val="003E22DC"/>
    <w:rsid w:val="00456679"/>
    <w:rsid w:val="00463815"/>
    <w:rsid w:val="00477676"/>
    <w:rsid w:val="004A02A5"/>
    <w:rsid w:val="004A1A9C"/>
    <w:rsid w:val="004A7D83"/>
    <w:rsid w:val="004B5220"/>
    <w:rsid w:val="00510BE0"/>
    <w:rsid w:val="005247DC"/>
    <w:rsid w:val="00557A24"/>
    <w:rsid w:val="00573DEF"/>
    <w:rsid w:val="005872CF"/>
    <w:rsid w:val="005A485C"/>
    <w:rsid w:val="005B6747"/>
    <w:rsid w:val="005D3C9E"/>
    <w:rsid w:val="005F2131"/>
    <w:rsid w:val="00607F9A"/>
    <w:rsid w:val="0062176F"/>
    <w:rsid w:val="006618BF"/>
    <w:rsid w:val="006647B7"/>
    <w:rsid w:val="00684697"/>
    <w:rsid w:val="00694794"/>
    <w:rsid w:val="006A1D14"/>
    <w:rsid w:val="006A3AB6"/>
    <w:rsid w:val="006D556B"/>
    <w:rsid w:val="006D5AE7"/>
    <w:rsid w:val="007031A8"/>
    <w:rsid w:val="007120A1"/>
    <w:rsid w:val="00731C1B"/>
    <w:rsid w:val="00736C1C"/>
    <w:rsid w:val="0077760A"/>
    <w:rsid w:val="007874C0"/>
    <w:rsid w:val="007F1DC3"/>
    <w:rsid w:val="00827B55"/>
    <w:rsid w:val="00842F4E"/>
    <w:rsid w:val="00853E6F"/>
    <w:rsid w:val="00863562"/>
    <w:rsid w:val="008A15EE"/>
    <w:rsid w:val="008B1BC3"/>
    <w:rsid w:val="008B4CFF"/>
    <w:rsid w:val="008C6AA1"/>
    <w:rsid w:val="009478E2"/>
    <w:rsid w:val="00951A43"/>
    <w:rsid w:val="0095369C"/>
    <w:rsid w:val="009570DD"/>
    <w:rsid w:val="009577ED"/>
    <w:rsid w:val="009678ED"/>
    <w:rsid w:val="009704FC"/>
    <w:rsid w:val="00977F84"/>
    <w:rsid w:val="009D543D"/>
    <w:rsid w:val="009E5B6D"/>
    <w:rsid w:val="00A34E66"/>
    <w:rsid w:val="00A40050"/>
    <w:rsid w:val="00A63760"/>
    <w:rsid w:val="00A91ECE"/>
    <w:rsid w:val="00A9303A"/>
    <w:rsid w:val="00A93AC2"/>
    <w:rsid w:val="00A946DD"/>
    <w:rsid w:val="00AD00B0"/>
    <w:rsid w:val="00AF2A00"/>
    <w:rsid w:val="00AF5EBB"/>
    <w:rsid w:val="00AF7EFA"/>
    <w:rsid w:val="00B07B13"/>
    <w:rsid w:val="00B166E1"/>
    <w:rsid w:val="00BA4F78"/>
    <w:rsid w:val="00BE70A7"/>
    <w:rsid w:val="00C23395"/>
    <w:rsid w:val="00C415D8"/>
    <w:rsid w:val="00C53D58"/>
    <w:rsid w:val="00C71C4E"/>
    <w:rsid w:val="00C735A9"/>
    <w:rsid w:val="00C765E5"/>
    <w:rsid w:val="00C84E9C"/>
    <w:rsid w:val="00CA1D7B"/>
    <w:rsid w:val="00CB4405"/>
    <w:rsid w:val="00CC364F"/>
    <w:rsid w:val="00CD453F"/>
    <w:rsid w:val="00CD4E11"/>
    <w:rsid w:val="00CF71DA"/>
    <w:rsid w:val="00D1153D"/>
    <w:rsid w:val="00D45B4D"/>
    <w:rsid w:val="00D53BDD"/>
    <w:rsid w:val="00D6310A"/>
    <w:rsid w:val="00DB105C"/>
    <w:rsid w:val="00DC10E4"/>
    <w:rsid w:val="00DC1F5C"/>
    <w:rsid w:val="00DD5436"/>
    <w:rsid w:val="00DF1035"/>
    <w:rsid w:val="00DF359B"/>
    <w:rsid w:val="00E12EEB"/>
    <w:rsid w:val="00E1772B"/>
    <w:rsid w:val="00E57990"/>
    <w:rsid w:val="00E61C17"/>
    <w:rsid w:val="00E770CD"/>
    <w:rsid w:val="00E921F5"/>
    <w:rsid w:val="00E9492E"/>
    <w:rsid w:val="00EB20ED"/>
    <w:rsid w:val="00EC2076"/>
    <w:rsid w:val="00EF28F7"/>
    <w:rsid w:val="00F3007F"/>
    <w:rsid w:val="00F33C88"/>
    <w:rsid w:val="00F37542"/>
    <w:rsid w:val="00F55C25"/>
    <w:rsid w:val="00F57A23"/>
    <w:rsid w:val="00F7054E"/>
    <w:rsid w:val="00F82A17"/>
    <w:rsid w:val="00F85EE1"/>
    <w:rsid w:val="00F951E0"/>
    <w:rsid w:val="00FC256B"/>
    <w:rsid w:val="00FC567D"/>
    <w:rsid w:val="00FD1445"/>
    <w:rsid w:val="00FD1A2F"/>
    <w:rsid w:val="00FD4457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27CE1"/>
  <w15:docId w15:val="{4818DC00-703E-430C-9763-A178667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C88"/>
    <w:pPr>
      <w:ind w:left="720"/>
      <w:contextualSpacing/>
    </w:pPr>
  </w:style>
  <w:style w:type="table" w:styleId="Tabel-Gitter">
    <w:name w:val="Table Grid"/>
    <w:basedOn w:val="Tabel-Normal"/>
    <w:uiPriority w:val="59"/>
    <w:rsid w:val="00D5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C6A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C6A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6A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6A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6AA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AA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5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1E0"/>
  </w:style>
  <w:style w:type="paragraph" w:styleId="Sidefod">
    <w:name w:val="footer"/>
    <w:basedOn w:val="Normal"/>
    <w:link w:val="SidefodTegn"/>
    <w:uiPriority w:val="99"/>
    <w:unhideWhenUsed/>
    <w:rsid w:val="00F95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1E0"/>
  </w:style>
  <w:style w:type="character" w:styleId="Hyperlink">
    <w:name w:val="Hyperlink"/>
    <w:basedOn w:val="Standardskrifttypeiafsnit"/>
    <w:uiPriority w:val="99"/>
    <w:unhideWhenUsed/>
    <w:rsid w:val="00F951E0"/>
    <w:rPr>
      <w:color w:val="0000FF" w:themeColor="hyperlink"/>
      <w:u w:val="single"/>
    </w:rPr>
  </w:style>
  <w:style w:type="paragraph" w:customStyle="1" w:styleId="CISUoverskriftansgningsskema">
    <w:name w:val="CISU overskrift ansøgningsskema"/>
    <w:autoRedefine/>
    <w:rsid w:val="00F951E0"/>
    <w:pPr>
      <w:spacing w:after="0" w:line="240" w:lineRule="auto"/>
    </w:pPr>
    <w:rPr>
      <w:rFonts w:ascii="Calibri Light" w:eastAsiaTheme="minorHAnsi" w:hAnsi="Calibri Light" w:cs="Calibri Light"/>
      <w:caps/>
      <w:color w:val="FFFFFF" w:themeColor="background1"/>
      <w:sz w:val="64"/>
      <w:szCs w:val="64"/>
      <w:lang w:val="en-GB" w:eastAsia="en-US"/>
    </w:rPr>
  </w:style>
  <w:style w:type="paragraph" w:styleId="Korrektur">
    <w:name w:val="Revision"/>
    <w:hidden/>
    <w:uiPriority w:val="99"/>
    <w:semiHidden/>
    <w:rsid w:val="007F1DC3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C84E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84E9C"/>
    <w:rPr>
      <w:rFonts w:ascii="Trebuchet MS" w:eastAsia="Trebuchet MS" w:hAnsi="Trebuchet MS" w:cs="Trebuchet MS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1DE34-76D1-4E3F-BB53-52A93B32FB9C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032C88A8-92D3-4699-983F-25EA3FD77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4D9F6-C092-4162-8DF5-61F0091E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Hovgaard</dc:creator>
  <cp:keywords/>
  <cp:lastModifiedBy>Jacob Thorsen</cp:lastModifiedBy>
  <cp:revision>66</cp:revision>
  <cp:lastPrinted>2018-11-02T17:45:00Z</cp:lastPrinted>
  <dcterms:created xsi:type="dcterms:W3CDTF">2022-09-09T17:34:00Z</dcterms:created>
  <dcterms:modified xsi:type="dcterms:W3CDTF">2022-10-14T10:40:00Z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0x010100DF6A4EA8CD694A448AAF29FEB1A8F245</vt:lpwstr>
  </property>
</Properties>
</file>